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ascii="FZXBSJW--GB1-0" w:hAnsi="FZXBSJW--GB1-0" w:eastAsia="FZXBSJW--GB1-0" w:cs="FZXBSJW--GB1-0"/>
          <w:color w:val="000000"/>
          <w:kern w:val="0"/>
          <w:sz w:val="72"/>
          <w:szCs w:val="72"/>
          <w:lang w:val="en-US" w:eastAsia="zh-CN" w:bidi="ar"/>
        </w:rPr>
      </w:pPr>
    </w:p>
    <w:p>
      <w:pPr>
        <w:pStyle w:val="2"/>
        <w:rPr>
          <w:rFonts w:ascii="FZXBSJW--GB1-0" w:hAnsi="FZXBSJW--GB1-0" w:eastAsia="FZXBSJW--GB1-0" w:cs="FZXBSJW--GB1-0"/>
          <w:color w:val="000000"/>
          <w:kern w:val="0"/>
          <w:sz w:val="72"/>
          <w:szCs w:val="72"/>
          <w:lang w:val="en-US" w:eastAsia="zh-CN" w:bidi="ar"/>
        </w:rPr>
      </w:pPr>
    </w:p>
    <w:p>
      <w:pPr>
        <w:keepNext w:val="0"/>
        <w:keepLines w:val="0"/>
        <w:widowControl/>
        <w:suppressLineNumbers w:val="0"/>
        <w:jc w:val="center"/>
        <w:rPr>
          <w:rFonts w:hint="eastAsia" w:ascii="黑体" w:hAnsi="黑体" w:eastAsia="黑体" w:cs="黑体"/>
          <w:color w:val="000000"/>
          <w:kern w:val="0"/>
          <w:sz w:val="72"/>
          <w:szCs w:val="72"/>
          <w:lang w:val="en-US" w:eastAsia="zh-CN" w:bidi="ar"/>
        </w:rPr>
      </w:pPr>
      <w:r>
        <w:rPr>
          <w:rFonts w:hint="eastAsia" w:ascii="黑体" w:hAnsi="黑体" w:eastAsia="黑体" w:cs="黑体"/>
          <w:color w:val="000000"/>
          <w:kern w:val="0"/>
          <w:sz w:val="72"/>
          <w:szCs w:val="72"/>
          <w:lang w:val="en-US" w:eastAsia="zh-CN" w:bidi="ar"/>
        </w:rPr>
        <w:t>2021年度达古</w:t>
      </w:r>
    </w:p>
    <w:p>
      <w:pPr>
        <w:keepNext w:val="0"/>
        <w:keepLines w:val="0"/>
        <w:widowControl/>
        <w:suppressLineNumbers w:val="0"/>
        <w:jc w:val="center"/>
        <w:rPr>
          <w:rFonts w:hint="eastAsia" w:ascii="黑体" w:hAnsi="黑体" w:eastAsia="黑体" w:cs="黑体"/>
          <w:color w:val="000000"/>
          <w:kern w:val="0"/>
          <w:sz w:val="72"/>
          <w:szCs w:val="72"/>
          <w:lang w:val="en-US" w:eastAsia="zh-CN" w:bidi="ar"/>
        </w:rPr>
      </w:pPr>
      <w:r>
        <w:rPr>
          <w:rFonts w:hint="eastAsia" w:ascii="黑体" w:hAnsi="黑体" w:eastAsia="黑体" w:cs="黑体"/>
          <w:color w:val="000000"/>
          <w:kern w:val="0"/>
          <w:sz w:val="72"/>
          <w:szCs w:val="72"/>
          <w:lang w:val="en-US" w:eastAsia="zh-CN" w:bidi="ar"/>
        </w:rPr>
        <w:t>冰川管理局部门决算</w:t>
      </w:r>
    </w:p>
    <w:p>
      <w:pPr>
        <w:pStyle w:val="2"/>
        <w:rPr>
          <w:rFonts w:hint="default"/>
          <w:lang w:val="en-US"/>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rPr>
          <w:rFonts w:hint="eastAsia" w:ascii="黑体" w:hAnsi="黑体" w:eastAsia="黑体" w:cs="黑体"/>
          <w:color w:val="000000"/>
          <w:kern w:val="0"/>
          <w:sz w:val="52"/>
          <w:szCs w:val="52"/>
          <w:lang w:val="en-US" w:eastAsia="zh-CN" w:bidi="ar"/>
        </w:rPr>
      </w:pPr>
    </w:p>
    <w:p>
      <w:pPr>
        <w:keepNext w:val="0"/>
        <w:keepLines w:val="0"/>
        <w:widowControl/>
        <w:suppressLineNumbers w:val="0"/>
        <w:jc w:val="center"/>
      </w:pPr>
      <w:r>
        <w:rPr>
          <w:rFonts w:ascii="仿宋_GB2312" w:hAnsi="仿宋_GB2312" w:eastAsia="仿宋_GB2312" w:cs="仿宋_GB2312"/>
          <w:color w:val="000000"/>
          <w:kern w:val="0"/>
          <w:sz w:val="31"/>
          <w:szCs w:val="31"/>
          <w:lang w:val="en-US" w:eastAsia="zh-CN" w:bidi="ar"/>
        </w:rPr>
        <w:t>已经保密审查、内容审定，同意对外公开</w:t>
      </w:r>
    </w:p>
    <w:p>
      <w:pPr>
        <w:keepNext w:val="0"/>
        <w:keepLines w:val="0"/>
        <w:widowControl/>
        <w:suppressLineNumbers w:val="0"/>
        <w:jc w:val="left"/>
        <w:rPr>
          <w:rFonts w:ascii="仿宋" w:hAnsi="仿宋" w:eastAsia="仿宋" w:cs="仿宋"/>
          <w:color w:val="000000"/>
          <w:kern w:val="0"/>
          <w:sz w:val="28"/>
          <w:szCs w:val="28"/>
          <w:lang w:val="en-US" w:eastAsia="zh-CN" w:bidi="ar"/>
        </w:rPr>
      </w:pPr>
    </w:p>
    <w:p>
      <w:pPr>
        <w:pStyle w:val="2"/>
        <w:rPr>
          <w:lang w:val="en-US" w:eastAsia="zh-CN"/>
        </w:rPr>
      </w:pPr>
      <w:bookmarkStart w:id="0" w:name="_GoBack"/>
      <w:bookmarkEnd w:id="0"/>
    </w:p>
    <w:p>
      <w:pPr>
        <w:keepNext w:val="0"/>
        <w:keepLines w:val="0"/>
        <w:widowControl/>
        <w:suppressLineNumbers w:val="0"/>
        <w:jc w:val="center"/>
        <w:rPr>
          <w:rFonts w:ascii="黑体" w:hAnsi="宋体" w:eastAsia="黑体" w:cs="黑体"/>
          <w:color w:val="000000"/>
          <w:kern w:val="0"/>
          <w:sz w:val="44"/>
          <w:szCs w:val="44"/>
          <w:lang w:val="en-US" w:eastAsia="zh-CN" w:bidi="ar"/>
        </w:rPr>
      </w:pPr>
      <w:r>
        <w:rPr>
          <w:rFonts w:ascii="黑体" w:hAnsi="宋体" w:eastAsia="黑体" w:cs="黑体"/>
          <w:color w:val="000000"/>
          <w:kern w:val="0"/>
          <w:sz w:val="44"/>
          <w:szCs w:val="44"/>
          <w:lang w:val="en-US" w:eastAsia="zh-CN" w:bidi="ar"/>
        </w:rPr>
        <w:t>目录</w:t>
      </w:r>
    </w:p>
    <w:p>
      <w:pPr>
        <w:keepNext w:val="0"/>
        <w:keepLines w:val="0"/>
        <w:widowControl/>
        <w:suppressLineNumbers w:val="0"/>
        <w:jc w:val="center"/>
        <w:rPr>
          <w:rFonts w:ascii="黑体" w:hAnsi="宋体" w:eastAsia="黑体" w:cs="黑体"/>
          <w:color w:val="000000"/>
          <w:kern w:val="0"/>
          <w:sz w:val="44"/>
          <w:szCs w:val="44"/>
          <w:lang w:val="en-US" w:eastAsia="zh-CN" w:bidi="ar"/>
        </w:rPr>
      </w:pPr>
    </w:p>
    <w:p>
      <w:pPr>
        <w:keepNext w:val="0"/>
        <w:keepLines w:val="0"/>
        <w:widowControl/>
        <w:suppressLineNumbers w:val="0"/>
        <w:jc w:val="center"/>
        <w:rPr>
          <w:rFonts w:ascii="黑体" w:hAnsi="宋体" w:eastAsia="黑体" w:cs="黑体"/>
          <w:color w:val="000000"/>
          <w:kern w:val="0"/>
          <w:sz w:val="44"/>
          <w:szCs w:val="44"/>
          <w:lang w:val="en-US" w:eastAsia="zh-CN" w:bidi="ar"/>
        </w:rPr>
      </w:pPr>
      <w:r>
        <w:rPr>
          <w:rFonts w:ascii="仿宋" w:hAnsi="仿宋" w:eastAsia="仿宋" w:cs="仿宋"/>
          <w:color w:val="000000"/>
          <w:kern w:val="0"/>
          <w:sz w:val="28"/>
          <w:szCs w:val="28"/>
          <w:lang w:val="en-US" w:eastAsia="zh-CN" w:bidi="ar"/>
        </w:rPr>
        <w:t>公开时间：2022年 9月 29日</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rFonts w:ascii="黑体" w:hAnsi="宋体" w:eastAsia="黑体" w:cs="黑体"/>
          <w:color w:val="000000"/>
          <w:kern w:val="0"/>
          <w:sz w:val="48"/>
          <w:szCs w:val="48"/>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32"/>
          <w:szCs w:val="32"/>
          <w:lang w:val="en-US" w:eastAsia="zh-CN" w:bidi="ar"/>
        </w:rPr>
        <w:t xml:space="preserve">部门概况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一、基本职能及主要工作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二、机构设置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第二部分 2021年度部门决算情况说明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一、收入支出决算总体情况说明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二、收入决算情况说明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三、支出决算情况说明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四、财政拨款收入支出决算总体情况说明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五、一般公共预算财政拨款支出决算情况说明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六、一般公共预算财政拨款基本支出决算情况说明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七、“三公”经费财政拨款支出决算情况说明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八、政府性基金预算支出决算情况说明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九、国有资本经营预算支出决算情况说明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十、其他重要事项的情况说明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第三部分 名词解释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第四部分 附件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第五部分 附表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一、收入支出决算总表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二、收入决算表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三、支出决算表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四、财政拨款收入支出决算总表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五、财政拨款支出决算明细表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六、一般公共预算财政拨款支出决算表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七、一般公共预算财政拨款支出决算明细表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八、一般公共预算财政拨款基本支出决算表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九、一般公共预算财政拨款项目支出决算表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十、一般公共预算财政拨款“三公”经费支出决算表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十一、政府性基金预算财政拨款收入支出决算表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十二、政府性基金预算财政拨款“三公”经费支出决算表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十三、国有资本经营预算财政拨款收入支出决算表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十四、国有资本经营预算财政拨款支出决算表 </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pStyle w:val="2"/>
      </w:pPr>
    </w:p>
    <w:p>
      <w:pPr>
        <w:pStyle w:val="2"/>
      </w:pPr>
    </w:p>
    <w:p>
      <w:pPr>
        <w:pStyle w:val="2"/>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numPr>
          <w:ilvl w:val="0"/>
          <w:numId w:val="2"/>
        </w:numPr>
        <w:suppressLineNumbers w:val="0"/>
        <w:jc w:val="center"/>
        <w:rPr>
          <w:rFonts w:hint="eastAsia" w:ascii="黑体" w:hAnsi="宋体" w:eastAsia="黑体" w:cs="黑体"/>
          <w:color w:val="000000"/>
          <w:kern w:val="0"/>
          <w:sz w:val="43"/>
          <w:szCs w:val="43"/>
          <w:lang w:val="en-US" w:eastAsia="zh-CN" w:bidi="ar"/>
        </w:rPr>
      </w:pPr>
      <w:r>
        <w:rPr>
          <w:rFonts w:hint="eastAsia" w:ascii="黑体" w:hAnsi="宋体" w:eastAsia="黑体" w:cs="黑体"/>
          <w:color w:val="000000"/>
          <w:kern w:val="0"/>
          <w:sz w:val="43"/>
          <w:szCs w:val="43"/>
          <w:lang w:val="en-US" w:eastAsia="zh-CN" w:bidi="ar"/>
        </w:rPr>
        <w:t>部门概况</w:t>
      </w:r>
    </w:p>
    <w:p>
      <w:pPr>
        <w:keepNext w:val="0"/>
        <w:keepLines w:val="0"/>
        <w:pageBreakBefore w:val="0"/>
        <w:widowControl/>
        <w:numPr>
          <w:ilvl w:val="0"/>
          <w:numId w:val="0"/>
        </w:numPr>
        <w:suppressLineNumbers w:val="0"/>
        <w:kinsoku/>
        <w:wordWrap/>
        <w:overflowPunct/>
        <w:topLinePunct w:val="0"/>
        <w:bidi w:val="0"/>
        <w:spacing w:line="480" w:lineRule="exact"/>
        <w:jc w:val="center"/>
        <w:textAlignment w:val="auto"/>
        <w:rPr>
          <w:rFonts w:hint="eastAsia" w:ascii="黑体" w:hAnsi="宋体" w:eastAsia="黑体" w:cs="黑体"/>
          <w:color w:val="000000"/>
          <w:kern w:val="0"/>
          <w:sz w:val="43"/>
          <w:szCs w:val="43"/>
          <w:lang w:val="en-US" w:eastAsia="zh-CN" w:bidi="ar"/>
        </w:rPr>
      </w:pPr>
    </w:p>
    <w:p>
      <w:pPr>
        <w:keepNext w:val="0"/>
        <w:keepLines w:val="0"/>
        <w:pageBreakBefore w:val="0"/>
        <w:widowControl/>
        <w:suppressLineNumbers w:val="0"/>
        <w:kinsoku/>
        <w:wordWrap/>
        <w:overflowPunct/>
        <w:topLinePunct w:val="0"/>
        <w:bidi w:val="0"/>
        <w:spacing w:line="480" w:lineRule="exact"/>
        <w:jc w:val="left"/>
        <w:textAlignment w:val="auto"/>
      </w:pPr>
      <w:r>
        <w:rPr>
          <w:rFonts w:hint="eastAsia" w:ascii="黑体" w:hAnsi="宋体" w:eastAsia="黑体" w:cs="黑体"/>
          <w:color w:val="000000"/>
          <w:kern w:val="0"/>
          <w:sz w:val="31"/>
          <w:szCs w:val="31"/>
          <w:lang w:val="en-US" w:eastAsia="zh-CN" w:bidi="ar"/>
        </w:rPr>
        <w:t xml:space="preserve">一、基本职能及主要工作 </w:t>
      </w:r>
    </w:p>
    <w:p>
      <w:pPr>
        <w:keepNext w:val="0"/>
        <w:keepLines w:val="0"/>
        <w:pageBreakBefore w:val="0"/>
        <w:widowControl/>
        <w:suppressLineNumbers w:val="0"/>
        <w:kinsoku/>
        <w:wordWrap/>
        <w:overflowPunct/>
        <w:topLinePunct w:val="0"/>
        <w:bidi w:val="0"/>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（一）主要职能</w:t>
      </w:r>
    </w:p>
    <w:p>
      <w:pPr>
        <w:keepNext w:val="0"/>
        <w:keepLines w:val="0"/>
        <w:pageBreakBefore w:val="0"/>
        <w:widowControl w:val="0"/>
        <w:kinsoku/>
        <w:wordWrap/>
        <w:overflowPunct/>
        <w:topLinePunct w:val="0"/>
        <w:autoSpaceDE/>
        <w:autoSpaceDN/>
        <w:bidi w:val="0"/>
        <w:spacing w:line="480" w:lineRule="exact"/>
        <w:ind w:firstLine="960" w:firstLineChars="300"/>
        <w:textAlignment w:val="auto"/>
        <w:rPr>
          <w:sz w:val="32"/>
          <w:szCs w:val="32"/>
        </w:rPr>
      </w:pPr>
      <w:r>
        <w:rPr>
          <w:rFonts w:hint="eastAsia" w:ascii="仿宋" w:eastAsia="仿宋" w:cs="仿宋"/>
          <w:color w:val="000000"/>
          <w:sz w:val="32"/>
          <w:szCs w:val="32"/>
          <w:shd w:val="solid" w:color="FFFFFF" w:fill="FFFFFF"/>
          <w:lang w:bidi="ar-SA"/>
        </w:rPr>
        <w:t>达古冰</w:t>
      </w:r>
      <w:r>
        <w:rPr>
          <w:rFonts w:hint="eastAsia" w:ascii="仿宋" w:eastAsia="仿宋" w:cs="仿宋"/>
          <w:color w:val="000000"/>
          <w:sz w:val="32"/>
          <w:szCs w:val="32"/>
          <w:shd w:val="solid" w:color="FFFFFF" w:fill="FFFFFF"/>
          <w:lang w:val="en-US" w:eastAsia="zh-CN" w:bidi="ar-SA"/>
        </w:rPr>
        <w:t>川</w:t>
      </w:r>
      <w:r>
        <w:rPr>
          <w:rFonts w:hint="eastAsia" w:ascii="仿宋" w:eastAsia="仿宋" w:cs="仿宋"/>
          <w:color w:val="000000"/>
          <w:sz w:val="32"/>
          <w:szCs w:val="32"/>
          <w:shd w:val="solid" w:color="FFFFFF" w:fill="FFFFFF"/>
          <w:lang w:bidi="ar-SA"/>
        </w:rPr>
        <w:t>管理局与四川三达古自然保护区管理局执行两块牌子一套人马的管理制度。主要职责是景区内632平方公里森林资源管护、野生动植物保护，旅游建设与开发等职责。</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（二）2021年重点工作完成情况</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eastAsia="仿宋" w:cs="仿宋"/>
          <w:color w:val="000000"/>
          <w:sz w:val="32"/>
          <w:szCs w:val="32"/>
          <w:shd w:val="solid" w:color="FFFFFF" w:fill="FFFFFF"/>
          <w:lang w:bidi="ar-SA"/>
        </w:rPr>
      </w:pPr>
      <w:r>
        <w:rPr>
          <w:rFonts w:hint="eastAsia" w:ascii="仿宋" w:eastAsia="仿宋" w:cs="仿宋"/>
          <w:color w:val="000000"/>
          <w:sz w:val="32"/>
          <w:szCs w:val="32"/>
          <w:shd w:val="solid" w:color="FFFFFF" w:fill="FFFFFF"/>
          <w:lang w:bidi="ar-SA"/>
        </w:rPr>
        <w:t>2021年，在州委、州政府的坚强领导下，</w:t>
      </w:r>
      <w:r>
        <w:rPr>
          <w:rFonts w:hint="eastAsia" w:ascii="仿宋" w:eastAsia="仿宋" w:cs="仿宋"/>
          <w:color w:val="000000"/>
          <w:sz w:val="32"/>
          <w:szCs w:val="32"/>
          <w:shd w:val="solid" w:color="FFFFFF" w:fill="FFFFFF"/>
          <w:lang w:eastAsia="zh-CN" w:bidi="ar-SA"/>
        </w:rPr>
        <w:t>达古冰川景区</w:t>
      </w:r>
      <w:r>
        <w:rPr>
          <w:rFonts w:hint="eastAsia" w:ascii="仿宋" w:eastAsia="仿宋" w:cs="仿宋"/>
          <w:color w:val="000000"/>
          <w:sz w:val="32"/>
          <w:szCs w:val="32"/>
          <w:shd w:val="solid" w:color="FFFFFF" w:fill="FFFFFF"/>
          <w:lang w:bidi="ar-SA"/>
        </w:rPr>
        <w:t>积极应对游客需求不断变化给旅游业带来的新挑战，紧紧围绕州委、州政府“一州两区三家园”战略目标，积极践行“创新、协调、绿色、开放、共享”五大发展理念，始终坚持“聚人气、创品牌，精服务、强管理，抓创建、塑形象”的工作思路，以资源保护为重点，以市场拓展为突破，以规划建设为支撑，以游客服务为抓手，以队伍建设为保障，在高质量发展新要求、内外双循环大格局中，扎实做好景区综合经营管理服务工作，奋力打造冰川彩林国际旅游目的地。</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eastAsia="仿宋" w:cs="仿宋"/>
          <w:color w:val="000000"/>
          <w:sz w:val="32"/>
          <w:szCs w:val="32"/>
          <w:shd w:val="solid" w:color="FFFFFF" w:fill="FFFFFF"/>
          <w:lang w:bidi="ar-SA"/>
        </w:rPr>
      </w:pPr>
      <w:r>
        <w:rPr>
          <w:rFonts w:hint="eastAsia" w:ascii="仿宋" w:eastAsia="仿宋" w:cs="仿宋"/>
          <w:color w:val="000000"/>
          <w:sz w:val="32"/>
          <w:szCs w:val="32"/>
          <w:shd w:val="solid" w:color="FFFFFF" w:fill="FFFFFF"/>
          <w:lang w:bidi="ar-SA"/>
        </w:rPr>
        <w:t>2021年，在基础设施相对滞后、经费投入严重不足等多重压力下，在持续遭受新冠肺炎疫情和G347线改造升级叠加影响，特别是在省内出现来（返）蓉确诊病例，且有密接人员进入黑水县，当地防疫指挥部设卡对所有游客进行劝返长达23天的情况下，共接待游客200550人次，实现景区直接收入5506.01万元，其中门票收入1141.78万元。</w:t>
      </w:r>
    </w:p>
    <w:p>
      <w:pPr>
        <w:keepNext w:val="0"/>
        <w:keepLines w:val="0"/>
        <w:pageBreakBefore w:val="0"/>
        <w:numPr>
          <w:ilvl w:val="0"/>
          <w:numId w:val="0"/>
        </w:numPr>
        <w:kinsoku/>
        <w:wordWrap/>
        <w:overflowPunct/>
        <w:topLinePunct w:val="0"/>
        <w:bidi w:val="0"/>
        <w:spacing w:line="480" w:lineRule="exact"/>
        <w:ind w:firstLine="643" w:firstLineChars="200"/>
        <w:textAlignment w:val="auto"/>
        <w:rPr>
          <w:rFonts w:hint="eastAsia" w:ascii="仿宋" w:eastAsia="仿宋" w:cs="仿宋"/>
          <w:color w:val="000000"/>
          <w:sz w:val="32"/>
          <w:szCs w:val="32"/>
          <w:shd w:val="solid" w:color="FFFFFF" w:fill="FFFFFF"/>
          <w:lang w:bidi="ar-SA"/>
        </w:rPr>
      </w:pPr>
      <w:r>
        <w:rPr>
          <w:rFonts w:hint="eastAsia" w:ascii="仿宋" w:hAnsi="仿宋" w:eastAsia="仿宋" w:cs="仿宋"/>
          <w:b/>
          <w:sz w:val="32"/>
          <w:szCs w:val="32"/>
          <w:lang w:val="en-US" w:eastAsia="zh-CN"/>
        </w:rPr>
        <w:t>1.</w:t>
      </w:r>
      <w:r>
        <w:rPr>
          <w:rFonts w:hint="eastAsia" w:ascii="仿宋" w:hAnsi="仿宋" w:eastAsia="仿宋" w:cs="仿宋"/>
          <w:b/>
          <w:sz w:val="32"/>
          <w:szCs w:val="32"/>
        </w:rPr>
        <w:t>始终以生态资源保护为重任，全面推动景区生态环境装扮新靓装。</w:t>
      </w:r>
      <w:r>
        <w:rPr>
          <w:rFonts w:hint="eastAsia" w:ascii="仿宋" w:eastAsia="仿宋" w:cs="仿宋"/>
          <w:color w:val="000000"/>
          <w:sz w:val="32"/>
          <w:szCs w:val="32"/>
          <w:shd w:val="solid" w:color="FFFFFF" w:fill="FFFFFF"/>
          <w:lang w:bidi="ar-SA"/>
        </w:rPr>
        <w:t>我们始终践行“冰天雪地也是金山银山”的发展理念，坚持绿色环保, 着眼长远抓保护，确保了景区生态资源安全，生态建设凸显成效。一是全面压实责任，生态保护机制得到创新完善。二是做到严防死守，连续18年无森林草原火情火灾。三是坚持多措并举，有效保持生物多样性完整。</w:t>
      </w:r>
    </w:p>
    <w:p>
      <w:pPr>
        <w:keepNext w:val="0"/>
        <w:keepLines w:val="0"/>
        <w:pageBreakBefore w:val="0"/>
        <w:numPr>
          <w:ilvl w:val="0"/>
          <w:numId w:val="0"/>
        </w:numPr>
        <w:kinsoku/>
        <w:wordWrap/>
        <w:overflowPunct/>
        <w:topLinePunct w:val="0"/>
        <w:bidi w:val="0"/>
        <w:spacing w:line="480" w:lineRule="exact"/>
        <w:ind w:firstLine="643" w:firstLineChars="200"/>
        <w:textAlignment w:val="auto"/>
        <w:rPr>
          <w:rFonts w:hint="eastAsia" w:ascii="仿宋" w:hAnsi="仿宋" w:eastAsia="仿宋" w:cs="仿宋"/>
          <w:sz w:val="32"/>
          <w:szCs w:val="32"/>
        </w:rPr>
      </w:pPr>
      <w:r>
        <w:rPr>
          <w:rFonts w:hint="eastAsia" w:ascii="仿宋" w:hAnsi="仿宋" w:eastAsia="仿宋" w:cs="仿宋"/>
          <w:b/>
          <w:sz w:val="32"/>
          <w:szCs w:val="32"/>
        </w:rPr>
        <w:t>2.始终以科研创新为动能，全面推动景区研学旅游成为新业态。</w:t>
      </w:r>
      <w:r>
        <w:rPr>
          <w:rFonts w:hint="eastAsia" w:ascii="仿宋" w:hAnsi="仿宋" w:eastAsia="仿宋" w:cs="仿宋"/>
          <w:sz w:val="32"/>
          <w:szCs w:val="32"/>
        </w:rPr>
        <w:t>我们坚持科技赋能景区，积极探索“科研+科普+生态旅游”的长效生态发展模式，不断提升景区发展的“含金量”，助推冰川生态旅游发展。一是加大科考科研，成果转化助力绿色发展。二是创新开展研学，推动研学实现零的突破。</w:t>
      </w:r>
    </w:p>
    <w:p>
      <w:pPr>
        <w:keepNext w:val="0"/>
        <w:keepLines w:val="0"/>
        <w:pageBreakBefore w:val="0"/>
        <w:kinsoku/>
        <w:wordWrap/>
        <w:overflowPunct/>
        <w:topLinePunct w:val="0"/>
        <w:bidi w:val="0"/>
        <w:spacing w:line="480" w:lineRule="exact"/>
        <w:ind w:firstLine="645"/>
        <w:textAlignment w:val="auto"/>
        <w:rPr>
          <w:rFonts w:hint="eastAsia" w:ascii="仿宋" w:hAnsi="仿宋" w:eastAsia="仿宋" w:cs="仿宋"/>
          <w:sz w:val="32"/>
          <w:szCs w:val="32"/>
        </w:rPr>
      </w:pPr>
      <w:r>
        <w:rPr>
          <w:rFonts w:hint="eastAsia" w:ascii="仿宋" w:hAnsi="仿宋" w:eastAsia="仿宋" w:cs="仿宋"/>
          <w:b/>
          <w:sz w:val="32"/>
          <w:szCs w:val="32"/>
        </w:rPr>
        <w:t>3.始终以擦亮大冰川为主线，全面推动景区品牌创建绽放新魅力。</w:t>
      </w:r>
      <w:r>
        <w:rPr>
          <w:rFonts w:hint="eastAsia" w:ascii="仿宋" w:hAnsi="仿宋" w:eastAsia="仿宋" w:cs="仿宋"/>
          <w:sz w:val="32"/>
          <w:szCs w:val="32"/>
        </w:rPr>
        <w:t>我们始终以擦亮“大冰川”品牌为着力点，以建设冰川彩林国际旅游目的地为目标坚持科学发展抓规划，冰川品牌创建彰显魅力。一是超前规划，助推景区“二次提升”。二是多点开花，精品建设成效显著。三是深挖资源，特色旅游品牌频现。</w:t>
      </w:r>
    </w:p>
    <w:p>
      <w:pPr>
        <w:keepNext w:val="0"/>
        <w:keepLines w:val="0"/>
        <w:pageBreakBefore w:val="0"/>
        <w:kinsoku/>
        <w:wordWrap/>
        <w:overflowPunct/>
        <w:topLinePunct w:val="0"/>
        <w:bidi w:val="0"/>
        <w:spacing w:line="480" w:lineRule="exact"/>
        <w:ind w:firstLine="645"/>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sz w:val="32"/>
          <w:szCs w:val="32"/>
        </w:rPr>
        <w:t>4.始终以多渠道营销为突破，全面推动景区景点跻身新网红。</w:t>
      </w:r>
      <w:r>
        <w:rPr>
          <w:rFonts w:hint="eastAsia" w:ascii="仿宋" w:hAnsi="仿宋" w:eastAsia="仿宋" w:cs="仿宋"/>
          <w:sz w:val="32"/>
          <w:szCs w:val="32"/>
        </w:rPr>
        <w:t>在宣传营销经费投入大幅下降的压力下，始终坚持精准、跨界、全员营销策略，全面提升景区人气，成为全省秋冬季旅游最红最热最火的景区。一是唱响冰川品牌，让景区形象提升。二是拓展主题活动，让景区亮点纷呈。三是全员网红营销，让景区全线飘红。</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二、机构设置 </w:t>
      </w:r>
    </w:p>
    <w:p>
      <w:pPr>
        <w:keepNext w:val="0"/>
        <w:keepLines w:val="0"/>
        <w:pageBreakBefore w:val="0"/>
        <w:widowControl/>
        <w:suppressLineNumbers w:val="0"/>
        <w:kinsoku/>
        <w:wordWrap/>
        <w:overflowPunct/>
        <w:topLinePunct w:val="0"/>
        <w:bidi w:val="0"/>
        <w:spacing w:line="48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达古冰川</w:t>
      </w:r>
      <w:r>
        <w:rPr>
          <w:rFonts w:hint="eastAsia" w:ascii="仿宋_GB2312" w:hAnsi="仿宋_GB2312" w:eastAsia="仿宋_GB2312" w:cs="仿宋_GB2312"/>
          <w:color w:val="auto"/>
          <w:sz w:val="32"/>
          <w:szCs w:val="32"/>
        </w:rPr>
        <w:t>管理局属一级预算单位，无下属二级预算单位，其中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无行政单位；无参照公务员法管理的事业单位；无其他事业单位。</w:t>
      </w:r>
    </w:p>
    <w:p>
      <w:pPr>
        <w:keepNext w:val="0"/>
        <w:keepLines w:val="0"/>
        <w:pageBreakBefore w:val="0"/>
        <w:widowControl/>
        <w:suppressLineNumbers w:val="0"/>
        <w:kinsoku/>
        <w:wordWrap/>
        <w:overflowPunct/>
        <w:topLinePunct w:val="0"/>
        <w:bidi w:val="0"/>
        <w:spacing w:line="48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suppressLineNumbers w:val="0"/>
        <w:kinsoku/>
        <w:wordWrap/>
        <w:overflowPunct/>
        <w:topLinePunct w:val="0"/>
        <w:bidi w:val="0"/>
        <w:spacing w:line="480" w:lineRule="exact"/>
        <w:jc w:val="center"/>
        <w:textAlignment w:val="auto"/>
        <w:rPr>
          <w:rFonts w:hint="eastAsia" w:ascii="黑体" w:hAnsi="宋体" w:eastAsia="黑体" w:cs="黑体"/>
          <w:color w:val="000000"/>
          <w:kern w:val="0"/>
          <w:sz w:val="44"/>
          <w:szCs w:val="44"/>
          <w:lang w:val="en-US" w:eastAsia="zh-CN" w:bidi="ar"/>
        </w:rPr>
      </w:pPr>
      <w:r>
        <w:rPr>
          <w:rFonts w:hint="eastAsia" w:ascii="黑体" w:hAnsi="宋体" w:eastAsia="黑体" w:cs="黑体"/>
          <w:color w:val="000000"/>
          <w:kern w:val="0"/>
          <w:sz w:val="44"/>
          <w:szCs w:val="44"/>
          <w:lang w:val="en-US" w:eastAsia="zh-CN" w:bidi="ar"/>
        </w:rPr>
        <w:t>第二部分 2021年度部门决算情况说明</w:t>
      </w:r>
    </w:p>
    <w:p>
      <w:pPr>
        <w:keepNext w:val="0"/>
        <w:keepLines w:val="0"/>
        <w:pageBreakBefore w:val="0"/>
        <w:widowControl/>
        <w:suppressLineNumbers w:val="0"/>
        <w:kinsoku/>
        <w:wordWrap/>
        <w:overflowPunct/>
        <w:topLinePunct w:val="0"/>
        <w:bidi w:val="0"/>
        <w:spacing w:line="480" w:lineRule="exact"/>
        <w:jc w:val="left"/>
        <w:textAlignment w:val="auto"/>
        <w:rPr>
          <w:rFonts w:hint="eastAsia" w:ascii="黑体" w:hAnsi="宋体" w:eastAsia="黑体" w:cs="黑体"/>
          <w:color w:val="000000"/>
          <w:kern w:val="0"/>
          <w:sz w:val="43"/>
          <w:szCs w:val="43"/>
          <w:lang w:val="en-US" w:eastAsia="zh-CN" w:bidi="ar"/>
        </w:rPr>
      </w:pP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一、 收入支出决算总体情况说明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2021年度收、支总计3552.78万元。与 2020年相比，收、支 总计各减少610.21万元，下降14.66%。主要变动原因是项目减少及年初结转结余减少。</w:t>
      </w:r>
    </w:p>
    <w:p>
      <w:pPr>
        <w:keepNext w:val="0"/>
        <w:keepLines w:val="0"/>
        <w:pageBreakBefore w:val="0"/>
        <w:widowControl/>
        <w:suppressLineNumbers w:val="0"/>
        <w:kinsoku/>
        <w:wordWrap/>
        <w:overflowPunct/>
        <w:topLinePunct w:val="0"/>
        <w:bidi w:val="0"/>
        <w:spacing w:line="480" w:lineRule="exact"/>
        <w:ind w:firstLine="1240" w:firstLineChars="400"/>
        <w:jc w:val="left"/>
        <w:textAlignment w:val="auto"/>
      </w:pPr>
      <w:r>
        <w:rPr>
          <w:rFonts w:hint="eastAsia" w:ascii="仿宋" w:hAnsi="仿宋" w:eastAsia="仿宋" w:cs="仿宋"/>
          <w:color w:val="000000"/>
          <w:kern w:val="0"/>
          <w:sz w:val="31"/>
          <w:szCs w:val="31"/>
          <w:lang w:val="en-US" w:eastAsia="zh-CN" w:bidi="ar"/>
        </w:rPr>
        <w:t>（图 1：收、支决算总计变动情况图）</w:t>
      </w:r>
      <w:r>
        <w:drawing>
          <wp:anchor distT="0" distB="0" distL="114300" distR="114300" simplePos="0" relativeHeight="251659264" behindDoc="0" locked="0" layoutInCell="1" allowOverlap="1">
            <wp:simplePos x="0" y="0"/>
            <wp:positionH relativeFrom="column">
              <wp:posOffset>119380</wp:posOffset>
            </wp:positionH>
            <wp:positionV relativeFrom="paragraph">
              <wp:posOffset>105410</wp:posOffset>
            </wp:positionV>
            <wp:extent cx="5163185" cy="2343150"/>
            <wp:effectExtent l="5080" t="4445" r="13335" b="14605"/>
            <wp:wrapSquare wrapText="bothSides"/>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二、 收入决算情况说明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2021年本年收入合计3115.49万元，其中：一般公共预算财政拨款收入3115.49万元，占100%；政府性基金预算财政拨款收入0万元，占0%；国有资本经营预算财政拨款收入0万元，占0%；上级补助收入0万元，占0%；事业收入0万元，占0%；</w:t>
      </w:r>
    </w:p>
    <w:p>
      <w:pPr>
        <w:keepNext w:val="0"/>
        <w:keepLines w:val="0"/>
        <w:pageBreakBefore w:val="0"/>
        <w:widowControl/>
        <w:suppressLineNumbers w:val="0"/>
        <w:kinsoku/>
        <w:wordWrap/>
        <w:overflowPunct/>
        <w:topLinePunct w:val="0"/>
        <w:bidi w:val="0"/>
        <w:spacing w:line="480" w:lineRule="exact"/>
        <w:jc w:val="left"/>
        <w:textAlignment w:val="auto"/>
      </w:pPr>
      <w:r>
        <w:rPr>
          <w:rFonts w:hint="eastAsia" w:ascii="仿宋" w:hAnsi="仿宋" w:eastAsia="仿宋" w:cs="仿宋"/>
          <w:color w:val="000000"/>
          <w:kern w:val="0"/>
          <w:sz w:val="31"/>
          <w:szCs w:val="31"/>
          <w:lang w:val="en-US" w:eastAsia="zh-CN" w:bidi="ar"/>
        </w:rPr>
        <w:t>经营收入0万元，占0%；附属单位上缴收入0万元，占0%；</w:t>
      </w:r>
    </w:p>
    <w:p>
      <w:pPr>
        <w:keepNext w:val="0"/>
        <w:keepLines w:val="0"/>
        <w:pageBreakBefore w:val="0"/>
        <w:widowControl/>
        <w:suppressLineNumbers w:val="0"/>
        <w:kinsoku/>
        <w:wordWrap/>
        <w:overflowPunct/>
        <w:topLinePunct w:val="0"/>
        <w:bidi w:val="0"/>
        <w:spacing w:line="480" w:lineRule="exact"/>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其他收入0万元，占0%。</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drawing>
          <wp:anchor distT="0" distB="0" distL="114300" distR="114300" simplePos="0" relativeHeight="251660288" behindDoc="0" locked="0" layoutInCell="1" allowOverlap="1">
            <wp:simplePos x="0" y="0"/>
            <wp:positionH relativeFrom="column">
              <wp:posOffset>785495</wp:posOffset>
            </wp:positionH>
            <wp:positionV relativeFrom="paragraph">
              <wp:posOffset>57785</wp:posOffset>
            </wp:positionV>
            <wp:extent cx="3724275" cy="2332990"/>
            <wp:effectExtent l="4445" t="5080" r="5080" b="5080"/>
            <wp:wrapSquare wrapText="bothSides"/>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default"/>
          <w:lang w:val="en-US" w:eastAsia="zh-CN"/>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1890" w:firstLineChars="900"/>
        <w:jc w:val="left"/>
        <w:textAlignment w:val="auto"/>
      </w:pPr>
      <w:r>
        <w:rPr>
          <w:rFonts w:hint="eastAsia"/>
          <w:lang w:val="en-US" w:eastAsia="zh-CN"/>
        </w:rPr>
        <w:t xml:space="preserve">   </w:t>
      </w:r>
      <w:r>
        <w:rPr>
          <w:rFonts w:hint="eastAsia" w:ascii="仿宋" w:hAnsi="仿宋" w:eastAsia="仿宋" w:cs="仿宋"/>
          <w:color w:val="000000"/>
          <w:kern w:val="0"/>
          <w:sz w:val="31"/>
          <w:szCs w:val="31"/>
          <w:lang w:val="en-US" w:eastAsia="zh-CN" w:bidi="ar"/>
        </w:rPr>
        <w:t>图 2：、收入决算结构图</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三、 支出决算情况说明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2021年本年支出合计3552.78万元，其中：基本支出2897.37万元，占81.55%；项目支出655.41万元，占18.45%；上缴上级支出0万元，占0%；经营支出0万元，占0%；对附属单位补助支出0万元，占0%。</w:t>
      </w: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r>
        <w:drawing>
          <wp:anchor distT="0" distB="0" distL="114300" distR="114300" simplePos="0" relativeHeight="251661312" behindDoc="0" locked="0" layoutInCell="1" allowOverlap="1">
            <wp:simplePos x="0" y="0"/>
            <wp:positionH relativeFrom="column">
              <wp:posOffset>566420</wp:posOffset>
            </wp:positionH>
            <wp:positionV relativeFrom="paragraph">
              <wp:posOffset>133985</wp:posOffset>
            </wp:positionV>
            <wp:extent cx="3600450" cy="2439670"/>
            <wp:effectExtent l="4445" t="4445" r="14605" b="13335"/>
            <wp:wrapSquare wrapText="bothSides"/>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ascii="仿宋" w:hAnsi="仿宋" w:eastAsia="仿宋" w:cs="仿宋"/>
          <w:color w:val="000000"/>
          <w:kern w:val="0"/>
          <w:sz w:val="31"/>
          <w:szCs w:val="31"/>
          <w:lang w:val="en-US" w:eastAsia="zh-CN" w:bidi="ar"/>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ind w:firstLine="2170" w:firstLineChars="700"/>
        <w:jc w:val="left"/>
        <w:textAlignment w:val="auto"/>
      </w:pPr>
      <w:r>
        <w:rPr>
          <w:rFonts w:hint="eastAsia" w:ascii="仿宋" w:hAnsi="仿宋" w:eastAsia="仿宋" w:cs="仿宋"/>
          <w:color w:val="000000"/>
          <w:kern w:val="0"/>
          <w:sz w:val="31"/>
          <w:szCs w:val="31"/>
          <w:lang w:val="en-US" w:eastAsia="zh-CN" w:bidi="ar"/>
        </w:rPr>
        <w:t>图 3：支出决算结构图</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四、财政拨款收入支出决算总体情况说明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2021年财政拨款收、支总计3552.78万元。与 2020年相比， 财政拨款收、支总计各减少610.21万元，下降14.66%。 </w:t>
      </w:r>
    </w:p>
    <w:p>
      <w:pPr>
        <w:keepNext w:val="0"/>
        <w:keepLines w:val="0"/>
        <w:pageBreakBefore w:val="0"/>
        <w:widowControl/>
        <w:suppressLineNumbers w:val="0"/>
        <w:kinsoku/>
        <w:wordWrap/>
        <w:overflowPunct/>
        <w:topLinePunct w:val="0"/>
        <w:bidi w:val="0"/>
        <w:spacing w:line="480" w:lineRule="exact"/>
        <w:jc w:val="left"/>
        <w:textAlignment w:val="auto"/>
        <w:rPr>
          <w:rFonts w:hint="eastAsia" w:ascii="仿宋" w:hAnsi="仿宋" w:eastAsia="仿宋" w:cs="仿宋"/>
          <w:b/>
          <w:bCs/>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主要变动原因是项目减少及年初财政拨款结转和结余减少。</w:t>
      </w:r>
    </w:p>
    <w:p>
      <w:pPr>
        <w:keepNext w:val="0"/>
        <w:keepLines w:val="0"/>
        <w:pageBreakBefore w:val="0"/>
        <w:widowControl/>
        <w:suppressLineNumbers w:val="0"/>
        <w:kinsoku/>
        <w:wordWrap/>
        <w:overflowPunct/>
        <w:topLinePunct w:val="0"/>
        <w:bidi w:val="0"/>
        <w:spacing w:line="480" w:lineRule="exact"/>
        <w:ind w:left="310" w:hanging="210" w:hangingChars="100"/>
        <w:jc w:val="left"/>
        <w:textAlignment w:val="auto"/>
      </w:pPr>
      <w:r>
        <w:drawing>
          <wp:anchor distT="0" distB="0" distL="114300" distR="114300" simplePos="0" relativeHeight="251665408" behindDoc="0" locked="0" layoutInCell="1" allowOverlap="1">
            <wp:simplePos x="0" y="0"/>
            <wp:positionH relativeFrom="column">
              <wp:posOffset>271145</wp:posOffset>
            </wp:positionH>
            <wp:positionV relativeFrom="paragraph">
              <wp:posOffset>113030</wp:posOffset>
            </wp:positionV>
            <wp:extent cx="5163185" cy="2239010"/>
            <wp:effectExtent l="4445" t="4445" r="13970" b="23495"/>
            <wp:wrapSquare wrapText="bothSides"/>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lang w:val="en-US" w:eastAsia="zh-CN"/>
        </w:rPr>
        <w:t xml:space="preserve">            </w:t>
      </w:r>
      <w:r>
        <w:rPr>
          <w:rFonts w:hint="eastAsia" w:ascii="仿宋" w:hAnsi="仿宋" w:eastAsia="仿宋" w:cs="仿宋"/>
          <w:color w:val="000000"/>
          <w:kern w:val="0"/>
          <w:sz w:val="31"/>
          <w:szCs w:val="31"/>
          <w:lang w:val="en-US" w:eastAsia="zh-CN" w:bidi="ar"/>
        </w:rPr>
        <w:t>（图 4：财政拨款收、支决算总计变动情况）</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五、</w:t>
      </w:r>
      <w:r>
        <w:rPr>
          <w:rFonts w:hint="eastAsia" w:ascii="黑体" w:hAnsi="宋体" w:eastAsia="黑体" w:cs="黑体"/>
          <w:b/>
          <w:bCs/>
          <w:color w:val="000000"/>
          <w:kern w:val="0"/>
          <w:sz w:val="31"/>
          <w:szCs w:val="31"/>
          <w:lang w:val="en-US" w:eastAsia="zh-CN" w:bidi="ar"/>
        </w:rPr>
        <w:t>一</w:t>
      </w:r>
      <w:r>
        <w:rPr>
          <w:rFonts w:hint="eastAsia" w:ascii="黑体" w:hAnsi="宋体" w:eastAsia="黑体" w:cs="黑体"/>
          <w:color w:val="000000"/>
          <w:kern w:val="0"/>
          <w:sz w:val="31"/>
          <w:szCs w:val="31"/>
          <w:lang w:val="en-US" w:eastAsia="zh-CN" w:bidi="ar"/>
        </w:rPr>
        <w:t xml:space="preserve">般公共预算财政拨款支出决算情况说明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（一）一般公共预算财政拨款支出决算总体情况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eastAsia"/>
          <w:lang w:val="en-US" w:eastAsia="zh-CN"/>
        </w:rPr>
      </w:pPr>
      <w:r>
        <w:rPr>
          <w:rFonts w:hint="eastAsia" w:ascii="仿宋" w:hAnsi="仿宋" w:eastAsia="仿宋" w:cs="仿宋"/>
          <w:color w:val="000000"/>
          <w:kern w:val="0"/>
          <w:sz w:val="31"/>
          <w:szCs w:val="31"/>
          <w:lang w:val="en-US" w:eastAsia="zh-CN" w:bidi="ar"/>
        </w:rPr>
        <w:t>2021年一般公共预算财政拨款支出3552.78万元，占本年支出合计的100%。与 2020年相比，一般公共预算财政拨款支出减少610.21万元，下降14.65%。主要变动原因是项目减少及年初财政拨款结转和结余减少。</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drawing>
          <wp:anchor distT="0" distB="0" distL="114300" distR="114300" simplePos="0" relativeHeight="251662336" behindDoc="0" locked="0" layoutInCell="1" allowOverlap="1">
            <wp:simplePos x="0" y="0"/>
            <wp:positionH relativeFrom="column">
              <wp:posOffset>242570</wp:posOffset>
            </wp:positionH>
            <wp:positionV relativeFrom="paragraph">
              <wp:posOffset>128270</wp:posOffset>
            </wp:positionV>
            <wp:extent cx="4868545" cy="1714500"/>
            <wp:effectExtent l="4445" t="4445" r="22860" b="14605"/>
            <wp:wrapSquare wrapText="bothSides"/>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keepNext w:val="0"/>
        <w:keepLines w:val="0"/>
        <w:pageBreakBefore w:val="0"/>
        <w:widowControl/>
        <w:suppressLineNumbers w:val="0"/>
        <w:kinsoku/>
        <w:wordWrap/>
        <w:overflowPunct/>
        <w:topLinePunct w:val="0"/>
        <w:bidi w:val="0"/>
        <w:spacing w:line="480" w:lineRule="exact"/>
        <w:ind w:firstLine="1240" w:firstLineChars="400"/>
        <w:jc w:val="left"/>
        <w:textAlignment w:val="auto"/>
        <w:rPr>
          <w:rFonts w:hint="eastAsia"/>
          <w:lang w:val="en-US" w:eastAsia="zh-CN"/>
        </w:rPr>
      </w:pPr>
      <w:r>
        <w:rPr>
          <w:rFonts w:hint="eastAsia" w:ascii="仿宋" w:hAnsi="仿宋" w:eastAsia="仿宋" w:cs="仿宋"/>
          <w:color w:val="000000"/>
          <w:kern w:val="0"/>
          <w:sz w:val="31"/>
          <w:szCs w:val="31"/>
          <w:lang w:val="en-US" w:eastAsia="zh-CN" w:bidi="ar"/>
        </w:rPr>
        <w:t>图 5：一般公共预算财政拨款支出决算变动情况</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（二）一般公共预算财政拨款支出决算结构情况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2021年一般公共预算财政拨款支出3552.78万元，主要用于以下方面:</w:t>
      </w:r>
      <w:r>
        <w:rPr>
          <w:rFonts w:hint="eastAsia" w:ascii="仿宋" w:hAnsi="仿宋" w:eastAsia="仿宋" w:cs="仿宋"/>
          <w:b/>
          <w:bCs/>
          <w:color w:val="000000"/>
          <w:kern w:val="0"/>
          <w:sz w:val="31"/>
          <w:szCs w:val="31"/>
          <w:lang w:val="en-US" w:eastAsia="zh-CN" w:bidi="ar"/>
        </w:rPr>
        <w:t>文化旅游体育与传媒</w:t>
      </w:r>
      <w:r>
        <w:rPr>
          <w:rFonts w:hint="eastAsia" w:ascii="仿宋" w:hAnsi="仿宋" w:eastAsia="仿宋" w:cs="仿宋"/>
          <w:color w:val="000000"/>
          <w:kern w:val="0"/>
          <w:sz w:val="31"/>
          <w:szCs w:val="31"/>
          <w:lang w:val="en-US" w:eastAsia="zh-CN" w:bidi="ar"/>
        </w:rPr>
        <w:t>支出3072.95万元，占86.49%；</w:t>
      </w:r>
      <w:r>
        <w:rPr>
          <w:rFonts w:hint="eastAsia" w:ascii="仿宋" w:hAnsi="仿宋" w:eastAsia="仿宋" w:cs="仿宋"/>
          <w:b/>
          <w:bCs/>
          <w:color w:val="000000"/>
          <w:kern w:val="0"/>
          <w:sz w:val="31"/>
          <w:szCs w:val="31"/>
          <w:lang w:val="en-US" w:eastAsia="zh-CN" w:bidi="ar"/>
        </w:rPr>
        <w:t>其他文化旅游体育与传媒</w:t>
      </w:r>
      <w:r>
        <w:rPr>
          <w:rFonts w:hint="eastAsia" w:ascii="仿宋" w:hAnsi="仿宋" w:eastAsia="仿宋" w:cs="仿宋"/>
          <w:color w:val="000000"/>
          <w:kern w:val="0"/>
          <w:sz w:val="31"/>
          <w:szCs w:val="31"/>
          <w:lang w:val="en-US" w:eastAsia="zh-CN" w:bidi="ar"/>
        </w:rPr>
        <w:t>支出92.61万元，占2.61%；</w:t>
      </w:r>
      <w:r>
        <w:rPr>
          <w:rFonts w:hint="eastAsia" w:ascii="仿宋" w:hAnsi="仿宋" w:eastAsia="仿宋" w:cs="仿宋"/>
          <w:b/>
          <w:bCs/>
          <w:color w:val="000000"/>
          <w:kern w:val="0"/>
          <w:sz w:val="31"/>
          <w:szCs w:val="31"/>
          <w:lang w:val="en-US" w:eastAsia="zh-CN" w:bidi="ar"/>
        </w:rPr>
        <w:t>农林水</w:t>
      </w:r>
      <w:r>
        <w:rPr>
          <w:rFonts w:hint="eastAsia" w:ascii="仿宋" w:hAnsi="仿宋" w:eastAsia="仿宋" w:cs="仿宋"/>
          <w:color w:val="000000"/>
          <w:kern w:val="0"/>
          <w:sz w:val="31"/>
          <w:szCs w:val="31"/>
          <w:lang w:val="en-US" w:eastAsia="zh-CN" w:bidi="ar"/>
        </w:rPr>
        <w:t>支出14.87万元，占0.42%；</w:t>
      </w:r>
      <w:r>
        <w:rPr>
          <w:rFonts w:hint="eastAsia" w:ascii="仿宋" w:hAnsi="仿宋" w:eastAsia="仿宋" w:cs="仿宋"/>
          <w:b/>
          <w:bCs/>
          <w:color w:val="000000"/>
          <w:kern w:val="0"/>
          <w:sz w:val="31"/>
          <w:szCs w:val="31"/>
          <w:lang w:val="en-US" w:eastAsia="zh-CN" w:bidi="ar"/>
        </w:rPr>
        <w:t>社会保障和就业</w:t>
      </w:r>
      <w:r>
        <w:rPr>
          <w:rFonts w:hint="eastAsia" w:ascii="仿宋" w:hAnsi="仿宋" w:eastAsia="仿宋" w:cs="仿宋"/>
          <w:color w:val="000000"/>
          <w:kern w:val="0"/>
          <w:sz w:val="31"/>
          <w:szCs w:val="31"/>
          <w:lang w:val="en-US" w:eastAsia="zh-CN" w:bidi="ar"/>
        </w:rPr>
        <w:t>支出166.79万元，占4.69%；</w:t>
      </w:r>
      <w:r>
        <w:rPr>
          <w:rFonts w:hint="eastAsia" w:ascii="仿宋" w:hAnsi="仿宋" w:eastAsia="仿宋" w:cs="仿宋"/>
          <w:b/>
          <w:bCs/>
          <w:color w:val="000000"/>
          <w:kern w:val="0"/>
          <w:sz w:val="31"/>
          <w:szCs w:val="31"/>
          <w:lang w:val="en-US" w:eastAsia="zh-CN" w:bidi="ar"/>
        </w:rPr>
        <w:t>卫生健康</w:t>
      </w:r>
      <w:r>
        <w:rPr>
          <w:rFonts w:hint="eastAsia" w:ascii="仿宋" w:hAnsi="仿宋" w:eastAsia="仿宋" w:cs="仿宋"/>
          <w:color w:val="000000"/>
          <w:kern w:val="0"/>
          <w:sz w:val="31"/>
          <w:szCs w:val="31"/>
          <w:lang w:val="en-US" w:eastAsia="zh-CN" w:bidi="ar"/>
        </w:rPr>
        <w:t>支出75.76万元，占2.13%；</w:t>
      </w:r>
      <w:r>
        <w:rPr>
          <w:rFonts w:hint="eastAsia" w:ascii="仿宋" w:hAnsi="仿宋" w:eastAsia="仿宋" w:cs="仿宋"/>
          <w:b/>
          <w:bCs/>
          <w:color w:val="000000"/>
          <w:kern w:val="0"/>
          <w:sz w:val="31"/>
          <w:szCs w:val="31"/>
          <w:lang w:val="en-US" w:eastAsia="zh-CN" w:bidi="ar"/>
        </w:rPr>
        <w:t>住房保障</w:t>
      </w:r>
      <w:r>
        <w:rPr>
          <w:rFonts w:hint="eastAsia" w:ascii="仿宋" w:hAnsi="仿宋" w:eastAsia="仿宋" w:cs="仿宋"/>
          <w:color w:val="000000"/>
          <w:kern w:val="0"/>
          <w:sz w:val="31"/>
          <w:szCs w:val="31"/>
          <w:lang w:val="en-US" w:eastAsia="zh-CN" w:bidi="ar"/>
        </w:rPr>
        <w:t xml:space="preserve">支出129.80万元，占3.65%。 </w:t>
      </w: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r>
        <w:drawing>
          <wp:anchor distT="0" distB="0" distL="114300" distR="114300" simplePos="0" relativeHeight="251663360" behindDoc="0" locked="0" layoutInCell="1" allowOverlap="1">
            <wp:simplePos x="0" y="0"/>
            <wp:positionH relativeFrom="column">
              <wp:posOffset>775970</wp:posOffset>
            </wp:positionH>
            <wp:positionV relativeFrom="paragraph">
              <wp:posOffset>10160</wp:posOffset>
            </wp:positionV>
            <wp:extent cx="3686810" cy="2057400"/>
            <wp:effectExtent l="4445" t="4445" r="23495" b="14605"/>
            <wp:wrapSquare wrapText="bothSides"/>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ind w:firstLine="420" w:firstLineChars="200"/>
        <w:jc w:val="left"/>
        <w:textAlignment w:val="auto"/>
        <w:rPr>
          <w:rFonts w:hint="eastAsia" w:ascii="仿宋" w:hAnsi="仿宋" w:eastAsia="仿宋" w:cs="仿宋"/>
          <w:color w:val="000000"/>
          <w:kern w:val="0"/>
          <w:sz w:val="31"/>
          <w:szCs w:val="31"/>
          <w:lang w:val="en-US" w:eastAsia="zh-CN" w:bidi="ar"/>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ind w:firstLine="1240" w:firstLineChars="400"/>
        <w:jc w:val="left"/>
        <w:textAlignment w:val="auto"/>
      </w:pPr>
      <w:r>
        <w:rPr>
          <w:rFonts w:hint="eastAsia" w:ascii="仿宋" w:hAnsi="仿宋" w:eastAsia="仿宋" w:cs="仿宋"/>
          <w:color w:val="000000"/>
          <w:kern w:val="0"/>
          <w:sz w:val="31"/>
          <w:szCs w:val="31"/>
          <w:lang w:val="en-US" w:eastAsia="zh-CN" w:bidi="ar"/>
        </w:rPr>
        <w:t xml:space="preserve">图 6：一般公共预算财政拨款支出决算结构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（三）一般公共预算财政拨款支出决算具体情况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2021年一般公共预算支出决算数为</w:t>
      </w:r>
      <w:r>
        <w:rPr>
          <w:rFonts w:hint="eastAsia" w:ascii="仿宋" w:hAnsi="仿宋" w:eastAsia="仿宋" w:cs="仿宋"/>
          <w:color w:val="000000"/>
          <w:kern w:val="0"/>
          <w:sz w:val="31"/>
          <w:szCs w:val="31"/>
          <w:lang w:val="en-US" w:eastAsia="zh-CN" w:bidi="ar"/>
        </w:rPr>
        <w:t>3552.78</w:t>
      </w:r>
      <w:r>
        <w:rPr>
          <w:rFonts w:hint="eastAsia" w:ascii="仿宋" w:hAnsi="仿宋" w:eastAsia="仿宋" w:cs="仿宋"/>
          <w:b/>
          <w:bCs/>
          <w:color w:val="000000"/>
          <w:kern w:val="0"/>
          <w:sz w:val="31"/>
          <w:szCs w:val="31"/>
          <w:lang w:val="en-US" w:eastAsia="zh-CN" w:bidi="ar"/>
        </w:rPr>
        <w:t>万元</w:t>
      </w:r>
      <w:r>
        <w:rPr>
          <w:rFonts w:hint="eastAsia" w:ascii="仿宋" w:hAnsi="仿宋" w:eastAsia="仿宋" w:cs="仿宋"/>
          <w:color w:val="000000"/>
          <w:kern w:val="0"/>
          <w:sz w:val="31"/>
          <w:szCs w:val="31"/>
          <w:lang w:val="en-US" w:eastAsia="zh-CN" w:bidi="ar"/>
        </w:rPr>
        <w:t>，</w:t>
      </w:r>
      <w:r>
        <w:rPr>
          <w:rFonts w:hint="eastAsia" w:ascii="仿宋" w:hAnsi="仿宋" w:eastAsia="仿宋" w:cs="仿宋"/>
          <w:b/>
          <w:bCs/>
          <w:color w:val="000000"/>
          <w:kern w:val="0"/>
          <w:sz w:val="31"/>
          <w:szCs w:val="31"/>
          <w:lang w:val="en-US" w:eastAsia="zh-CN" w:bidi="ar"/>
        </w:rPr>
        <w:t>完成预算100%。其中：</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1.文化旅游体育与传媒支出:</w:t>
      </w:r>
      <w:r>
        <w:rPr>
          <w:rFonts w:hint="eastAsia" w:ascii="仿宋" w:hAnsi="仿宋" w:eastAsia="仿宋" w:cs="仿宋"/>
          <w:color w:val="000000"/>
          <w:kern w:val="0"/>
          <w:sz w:val="31"/>
          <w:szCs w:val="31"/>
          <w:lang w:val="en-US" w:eastAsia="zh-CN" w:bidi="ar"/>
        </w:rPr>
        <w:t>支出决算为3072.95万元，完成预算100%，决算数与预算数持平。</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2.其他文化旅游体育与传媒支出:</w:t>
      </w:r>
      <w:r>
        <w:rPr>
          <w:rFonts w:hint="eastAsia" w:ascii="仿宋" w:hAnsi="仿宋" w:eastAsia="仿宋" w:cs="仿宋"/>
          <w:color w:val="000000"/>
          <w:kern w:val="0"/>
          <w:sz w:val="31"/>
          <w:szCs w:val="31"/>
          <w:lang w:val="en-US" w:eastAsia="zh-CN" w:bidi="ar"/>
        </w:rPr>
        <w:t xml:space="preserve">支出决算为92.61万元， </w:t>
      </w:r>
    </w:p>
    <w:p>
      <w:pPr>
        <w:keepNext w:val="0"/>
        <w:keepLines w:val="0"/>
        <w:pageBreakBefore w:val="0"/>
        <w:widowControl/>
        <w:suppressLineNumbers w:val="0"/>
        <w:kinsoku/>
        <w:wordWrap/>
        <w:overflowPunct/>
        <w:topLinePunct w:val="0"/>
        <w:bidi w:val="0"/>
        <w:spacing w:line="480" w:lineRule="exact"/>
        <w:jc w:val="left"/>
        <w:textAlignment w:val="auto"/>
      </w:pPr>
      <w:r>
        <w:rPr>
          <w:rFonts w:hint="eastAsia" w:ascii="仿宋" w:hAnsi="仿宋" w:eastAsia="仿宋" w:cs="仿宋"/>
          <w:color w:val="000000"/>
          <w:kern w:val="0"/>
          <w:sz w:val="31"/>
          <w:szCs w:val="31"/>
          <w:lang w:val="en-US" w:eastAsia="zh-CN" w:bidi="ar"/>
        </w:rPr>
        <w:t>完成预算100%，决算数与预算数持平。</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3.农林水支出:</w:t>
      </w:r>
      <w:r>
        <w:rPr>
          <w:rFonts w:hint="eastAsia" w:ascii="仿宋" w:hAnsi="仿宋" w:eastAsia="仿宋" w:cs="仿宋"/>
          <w:color w:val="000000"/>
          <w:kern w:val="0"/>
          <w:sz w:val="31"/>
          <w:szCs w:val="31"/>
          <w:lang w:val="en-US" w:eastAsia="zh-CN" w:bidi="ar"/>
        </w:rPr>
        <w:t>支出决算为14.87万元，完成预算100%，决算数与预算数持平。</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4.社会保障和就业</w:t>
      </w:r>
      <w:r>
        <w:rPr>
          <w:rFonts w:hint="eastAsia" w:ascii="仿宋" w:hAnsi="仿宋" w:eastAsia="仿宋" w:cs="仿宋"/>
          <w:color w:val="000000"/>
          <w:kern w:val="0"/>
          <w:sz w:val="31"/>
          <w:szCs w:val="31"/>
          <w:lang w:val="en-US" w:eastAsia="zh-CN" w:bidi="ar"/>
        </w:rPr>
        <w:t>支出</w:t>
      </w:r>
      <w:r>
        <w:rPr>
          <w:rFonts w:hint="eastAsia" w:ascii="仿宋" w:hAnsi="仿宋" w:eastAsia="仿宋" w:cs="仿宋"/>
          <w:b/>
          <w:bCs/>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支出决算为166.79万元，完成预算100%，决算数与预算数持平</w:t>
      </w:r>
      <w:r>
        <w:rPr>
          <w:rFonts w:hint="eastAsia" w:ascii="仿宋" w:hAnsi="仿宋" w:eastAsia="仿宋" w:cs="仿宋"/>
          <w:b/>
          <w:bCs/>
          <w:color w:val="000000"/>
          <w:kern w:val="0"/>
          <w:sz w:val="31"/>
          <w:szCs w:val="31"/>
          <w:lang w:val="en-US" w:eastAsia="zh-CN" w:bidi="ar"/>
        </w:rPr>
        <w:t>。</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5.卫生健康支出:</w:t>
      </w:r>
      <w:r>
        <w:rPr>
          <w:rFonts w:hint="eastAsia" w:ascii="仿宋" w:hAnsi="仿宋" w:eastAsia="仿宋" w:cs="仿宋"/>
          <w:color w:val="000000"/>
          <w:kern w:val="0"/>
          <w:sz w:val="31"/>
          <w:szCs w:val="31"/>
          <w:lang w:val="en-US" w:eastAsia="zh-CN" w:bidi="ar"/>
        </w:rPr>
        <w:t>支出决算为75.76万元，完成预算100%，决算数与预算数持平。</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6.住房保障支出:</w:t>
      </w:r>
      <w:r>
        <w:rPr>
          <w:rFonts w:hint="eastAsia" w:ascii="仿宋" w:hAnsi="仿宋" w:eastAsia="仿宋" w:cs="仿宋"/>
          <w:color w:val="000000"/>
          <w:kern w:val="0"/>
          <w:sz w:val="31"/>
          <w:szCs w:val="31"/>
          <w:lang w:val="en-US" w:eastAsia="zh-CN" w:bidi="ar"/>
        </w:rPr>
        <w:t>支出决算为129.80万元，完成预算100%，决算数与预算数持平。</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六</w:t>
      </w:r>
      <w:r>
        <w:rPr>
          <w:rFonts w:hint="eastAsia" w:ascii="黑体" w:hAnsi="宋体" w:eastAsia="黑体" w:cs="黑体"/>
          <w:b/>
          <w:bCs/>
          <w:color w:val="000000"/>
          <w:kern w:val="0"/>
          <w:sz w:val="31"/>
          <w:szCs w:val="31"/>
          <w:lang w:val="en-US" w:eastAsia="zh-CN" w:bidi="ar"/>
        </w:rPr>
        <w:t>、一</w:t>
      </w:r>
      <w:r>
        <w:rPr>
          <w:rFonts w:hint="eastAsia" w:ascii="黑体" w:hAnsi="宋体" w:eastAsia="黑体" w:cs="黑体"/>
          <w:color w:val="000000"/>
          <w:kern w:val="0"/>
          <w:sz w:val="31"/>
          <w:szCs w:val="31"/>
          <w:lang w:val="en-US" w:eastAsia="zh-CN" w:bidi="ar"/>
        </w:rPr>
        <w:t xml:space="preserve">般公共预算财政拨款基本支出决算情况说明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2021年一般公共预算财政拨款基本支出2897.37万元，其中：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人员经费1921.24万元，主要包括：基本工资287.84万元、津贴补贴600.05万元、奖金26.57万元、伙食补助费71.68万元、绩效工资256.18万元、机关事业单位基本养老保险缴 </w:t>
      </w:r>
    </w:p>
    <w:p>
      <w:pPr>
        <w:keepNext w:val="0"/>
        <w:keepLines w:val="0"/>
        <w:pageBreakBefore w:val="0"/>
        <w:widowControl/>
        <w:suppressLineNumbers w:val="0"/>
        <w:kinsoku/>
        <w:wordWrap/>
        <w:overflowPunct/>
        <w:topLinePunct w:val="0"/>
        <w:bidi w:val="0"/>
        <w:spacing w:line="480" w:lineRule="exact"/>
        <w:jc w:val="left"/>
        <w:textAlignment w:val="auto"/>
      </w:pPr>
      <w:r>
        <w:rPr>
          <w:rFonts w:hint="eastAsia" w:ascii="仿宋" w:hAnsi="仿宋" w:eastAsia="仿宋" w:cs="仿宋"/>
          <w:color w:val="000000"/>
          <w:kern w:val="0"/>
          <w:sz w:val="31"/>
          <w:szCs w:val="31"/>
          <w:lang w:val="en-US" w:eastAsia="zh-CN" w:bidi="ar"/>
        </w:rPr>
        <w:t xml:space="preserve">费111.19万元、职业年金缴费55.60万元、其他社会保障缴费17.02万元、其他工资福利支出254.40万元、生活补助35.15万元、住房公积金129.80万元、职工基本医疗保险缴费59.94万元、公务员医疗补助缴费15.82万元等。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公用经费976.13万元，主要包括：办公费76.65万元、手续费9.79万元、电费30.00万元、邮电费35.89万元、物业管理费66.87万元、差旅费54.76万元、维修（护）费80.42万元、租赁费129.46万元、培训费32.12万元、公务接待费47.54万元、专用材料费17.43万元、劳务费7.58万元、委托业务费187.68万元、福利费17.69万元、公务用车运行维护费97.22万元、其他交通费0.93万元、办公设备购置17.91万元、公务用车购置66.19万元等。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七、</w:t>
      </w:r>
      <w:r>
        <w:rPr>
          <w:rFonts w:hint="eastAsia" w:ascii="黑体" w:hAnsi="宋体" w:eastAsia="黑体" w:cs="黑体"/>
          <w:b/>
          <w:bCs/>
          <w:color w:val="000000"/>
          <w:kern w:val="0"/>
          <w:sz w:val="31"/>
          <w:szCs w:val="31"/>
          <w:lang w:val="en-US" w:eastAsia="zh-CN" w:bidi="ar"/>
        </w:rPr>
        <w:t>“</w:t>
      </w:r>
      <w:r>
        <w:rPr>
          <w:rFonts w:hint="eastAsia" w:ascii="黑体" w:hAnsi="宋体" w:eastAsia="黑体" w:cs="黑体"/>
          <w:color w:val="000000"/>
          <w:kern w:val="0"/>
          <w:sz w:val="31"/>
          <w:szCs w:val="31"/>
          <w:lang w:val="en-US" w:eastAsia="zh-CN" w:bidi="ar"/>
        </w:rPr>
        <w:t xml:space="preserve">三公”经费财政拨款支出决算情况说明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（一）“三公”经费财政拨款支出决算总体情况说明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2021年“三公”经费财政拨款支出决算为210.95万元，完成预算100%，决算数与预算数持平。 </w:t>
      </w:r>
      <w:r>
        <w:rPr>
          <w:rFonts w:hint="eastAsia" w:ascii="仿宋" w:hAnsi="仿宋" w:eastAsia="仿宋" w:cs="仿宋"/>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（二）“三公”经费财政拨款支出决算具体情况说明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仿宋" w:hAnsi="仿宋" w:eastAsia="仿宋" w:cs="仿宋"/>
          <w:color w:val="000000"/>
          <w:kern w:val="0"/>
          <w:sz w:val="31"/>
          <w:szCs w:val="31"/>
          <w:lang w:val="en-US" w:eastAsia="zh-CN" w:bidi="ar"/>
        </w:rPr>
        <w:t xml:space="preserve">2021年“三公”经费财政拨款支出决算中，因公出国（境） </w:t>
      </w:r>
    </w:p>
    <w:p>
      <w:pPr>
        <w:keepNext w:val="0"/>
        <w:keepLines w:val="0"/>
        <w:pageBreakBefore w:val="0"/>
        <w:widowControl/>
        <w:suppressLineNumbers w:val="0"/>
        <w:kinsoku/>
        <w:wordWrap/>
        <w:overflowPunct/>
        <w:topLinePunct w:val="0"/>
        <w:bidi w:val="0"/>
        <w:spacing w:line="480" w:lineRule="exact"/>
        <w:jc w:val="left"/>
        <w:textAlignment w:val="auto"/>
      </w:pPr>
      <w:r>
        <w:rPr>
          <w:rFonts w:hint="eastAsia" w:ascii="仿宋" w:hAnsi="仿宋" w:eastAsia="仿宋" w:cs="仿宋"/>
          <w:color w:val="000000"/>
          <w:kern w:val="0"/>
          <w:sz w:val="31"/>
          <w:szCs w:val="31"/>
          <w:lang w:val="en-US" w:eastAsia="zh-CN" w:bidi="ar"/>
        </w:rPr>
        <w:t xml:space="preserve">费支出决算0万元，占0%；公务用车购置及运行维护费支出决算163.41万元，占77.46%；公务接待费支出决算47.54万元，占22.54%。 </w:t>
      </w:r>
    </w:p>
    <w:p>
      <w:pPr>
        <w:keepNext w:val="0"/>
        <w:keepLines w:val="0"/>
        <w:pageBreakBefore w:val="0"/>
        <w:widowControl/>
        <w:suppressLineNumbers w:val="0"/>
        <w:kinsoku/>
        <w:wordWrap/>
        <w:overflowPunct/>
        <w:topLinePunct w:val="0"/>
        <w:bidi w:val="0"/>
        <w:spacing w:line="480" w:lineRule="exact"/>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具体情况如下：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drawing>
          <wp:anchor distT="0" distB="0" distL="114300" distR="114300" simplePos="0" relativeHeight="251664384" behindDoc="0" locked="0" layoutInCell="1" allowOverlap="1">
            <wp:simplePos x="0" y="0"/>
            <wp:positionH relativeFrom="column">
              <wp:posOffset>671195</wp:posOffset>
            </wp:positionH>
            <wp:positionV relativeFrom="paragraph">
              <wp:posOffset>219710</wp:posOffset>
            </wp:positionV>
            <wp:extent cx="3848735" cy="2353310"/>
            <wp:effectExtent l="4445" t="4445" r="13970" b="23495"/>
            <wp:wrapSquare wrapText="bothSides"/>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lang w:val="en-US" w:eastAsia="zh-CN"/>
        </w:rPr>
      </w:pPr>
    </w:p>
    <w:p>
      <w:pPr>
        <w:keepNext w:val="0"/>
        <w:keepLines w:val="0"/>
        <w:pageBreakBefore w:val="0"/>
        <w:widowControl/>
        <w:suppressLineNumbers w:val="0"/>
        <w:kinsoku/>
        <w:wordWrap/>
        <w:overflowPunct/>
        <w:topLinePunct w:val="0"/>
        <w:bidi w:val="0"/>
        <w:spacing w:line="480" w:lineRule="exact"/>
        <w:jc w:val="left"/>
        <w:textAlignment w:val="auto"/>
        <w:rPr>
          <w:rFonts w:hint="eastAsia" w:ascii="仿宋" w:hAnsi="仿宋" w:eastAsia="仿宋" w:cs="仿宋"/>
          <w:color w:val="000000"/>
          <w:kern w:val="0"/>
          <w:sz w:val="31"/>
          <w:szCs w:val="31"/>
          <w:lang w:val="en-US" w:eastAsia="zh-CN" w:bidi="ar"/>
        </w:rPr>
      </w:pPr>
      <w:r>
        <w:rPr>
          <w:rFonts w:hint="eastAsia"/>
          <w:lang w:val="en-US" w:eastAsia="zh-CN"/>
        </w:rPr>
        <w:t xml:space="preserve"> </w:t>
      </w:r>
    </w:p>
    <w:p>
      <w:pPr>
        <w:keepNext w:val="0"/>
        <w:keepLines w:val="0"/>
        <w:pageBreakBefore w:val="0"/>
        <w:widowControl/>
        <w:suppressLineNumbers w:val="0"/>
        <w:kinsoku/>
        <w:wordWrap/>
        <w:overflowPunct/>
        <w:topLinePunct w:val="0"/>
        <w:bidi w:val="0"/>
        <w:spacing w:line="480" w:lineRule="exact"/>
        <w:ind w:firstLine="1860" w:firstLineChars="600"/>
        <w:jc w:val="left"/>
        <w:textAlignment w:val="auto"/>
      </w:pPr>
      <w:r>
        <w:rPr>
          <w:rFonts w:hint="eastAsia" w:ascii="仿宋" w:hAnsi="仿宋" w:eastAsia="仿宋" w:cs="仿宋"/>
          <w:color w:val="000000"/>
          <w:kern w:val="0"/>
          <w:sz w:val="31"/>
          <w:szCs w:val="31"/>
          <w:lang w:val="en-US" w:eastAsia="zh-CN" w:bidi="ar"/>
        </w:rPr>
        <w:t>图 7：“三公”经费财政拨款支出</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rPr>
          <w:rFonts w:hint="default"/>
          <w:lang w:val="en-US"/>
        </w:rPr>
      </w:pPr>
      <w:r>
        <w:rPr>
          <w:rFonts w:ascii="仿宋_GB2312" w:hAnsi="仿宋_GB2312" w:eastAsia="仿宋_GB2312" w:cs="仿宋_GB2312"/>
          <w:b/>
          <w:bCs/>
          <w:color w:val="000000"/>
          <w:kern w:val="0"/>
          <w:sz w:val="31"/>
          <w:szCs w:val="31"/>
          <w:lang w:val="en-US" w:eastAsia="zh-CN" w:bidi="ar"/>
        </w:rPr>
        <w:t>1.因公出国（境）经费支出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w:t>
      </w:r>
      <w:r>
        <w:rPr>
          <w:rFonts w:hint="eastAsia" w:ascii="仿宋" w:hAnsi="仿宋" w:eastAsia="仿宋" w:cs="仿宋"/>
          <w:color w:val="000000"/>
          <w:kern w:val="0"/>
          <w:sz w:val="31"/>
          <w:szCs w:val="31"/>
          <w:lang w:val="en-US" w:eastAsia="zh-CN" w:bidi="ar"/>
        </w:rPr>
        <w:t>无预算。</w:t>
      </w:r>
      <w:r>
        <w:rPr>
          <w:rFonts w:ascii="仿宋_GB2312" w:hAnsi="仿宋_GB2312" w:eastAsia="仿宋_GB2312" w:cs="仿宋_GB2312"/>
          <w:color w:val="000000"/>
          <w:kern w:val="0"/>
          <w:sz w:val="31"/>
          <w:szCs w:val="31"/>
          <w:lang w:val="en-US" w:eastAsia="zh-CN" w:bidi="ar"/>
        </w:rPr>
        <w:t>全年安排因公出国（境）团组</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次，出国（境）</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人。因公出国（境）支出决算比 2020年</w:t>
      </w:r>
      <w:r>
        <w:rPr>
          <w:rFonts w:hint="eastAsia" w:ascii="仿宋_GB2312" w:hAnsi="仿宋_GB2312" w:eastAsia="仿宋_GB2312" w:cs="仿宋_GB2312"/>
          <w:color w:val="000000"/>
          <w:kern w:val="0"/>
          <w:sz w:val="31"/>
          <w:szCs w:val="31"/>
          <w:lang w:val="en-US" w:eastAsia="zh-CN" w:bidi="ar"/>
        </w:rPr>
        <w:t>持平。</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ascii="仿宋_GB2312" w:hAnsi="仿宋_GB2312" w:eastAsia="仿宋_GB2312" w:cs="仿宋_GB2312"/>
          <w:b/>
          <w:bCs/>
          <w:color w:val="000000"/>
          <w:kern w:val="0"/>
          <w:sz w:val="31"/>
          <w:szCs w:val="31"/>
          <w:lang w:val="en-US" w:eastAsia="zh-CN" w:bidi="ar"/>
        </w:rPr>
        <w:t>2.公务用车购置及运行维护费支出</w:t>
      </w:r>
      <w:r>
        <w:rPr>
          <w:rFonts w:hint="eastAsia" w:ascii="仿宋_GB2312" w:hAnsi="仿宋_GB2312" w:eastAsia="仿宋_GB2312" w:cs="仿宋_GB2312"/>
          <w:color w:val="000000"/>
          <w:kern w:val="0"/>
          <w:sz w:val="31"/>
          <w:szCs w:val="31"/>
          <w:lang w:val="en-US" w:eastAsia="zh-CN" w:bidi="ar"/>
        </w:rPr>
        <w:t>163.41</w:t>
      </w:r>
      <w:r>
        <w:rPr>
          <w:rFonts w:ascii="仿宋_GB2312" w:hAnsi="仿宋_GB2312" w:eastAsia="仿宋_GB2312" w:cs="仿宋_GB2312"/>
          <w:color w:val="000000"/>
          <w:kern w:val="0"/>
          <w:sz w:val="31"/>
          <w:szCs w:val="31"/>
          <w:lang w:val="en-US" w:eastAsia="zh-CN" w:bidi="ar"/>
        </w:rPr>
        <w:t>万元,</w:t>
      </w:r>
      <w:r>
        <w:rPr>
          <w:rFonts w:hint="eastAsia" w:ascii="仿宋" w:hAnsi="仿宋" w:eastAsia="仿宋" w:cs="仿宋"/>
          <w:color w:val="000000"/>
          <w:kern w:val="0"/>
          <w:sz w:val="31"/>
          <w:szCs w:val="31"/>
          <w:lang w:val="en-US" w:eastAsia="zh-CN" w:bidi="ar"/>
        </w:rPr>
        <w:t>完成预算100%。</w:t>
      </w:r>
      <w:r>
        <w:rPr>
          <w:rFonts w:ascii="仿宋_GB2312" w:hAnsi="仿宋_GB2312" w:eastAsia="仿宋_GB2312" w:cs="仿宋_GB2312"/>
          <w:color w:val="000000"/>
          <w:kern w:val="0"/>
          <w:sz w:val="31"/>
          <w:szCs w:val="31"/>
          <w:lang w:val="en-US" w:eastAsia="zh-CN" w:bidi="ar"/>
        </w:rPr>
        <w:t>公务用车购置及运行维护费支出决算比 2020年增加</w:t>
      </w:r>
      <w:r>
        <w:rPr>
          <w:rFonts w:hint="eastAsia" w:ascii="仿宋_GB2312" w:hAnsi="仿宋_GB2312" w:eastAsia="仿宋_GB2312" w:cs="仿宋_GB2312"/>
          <w:color w:val="000000"/>
          <w:kern w:val="0"/>
          <w:sz w:val="31"/>
          <w:szCs w:val="31"/>
          <w:lang w:val="en-US" w:eastAsia="zh-CN" w:bidi="ar"/>
        </w:rPr>
        <w:t>5.58</w:t>
      </w:r>
      <w:r>
        <w:rPr>
          <w:rFonts w:ascii="仿宋_GB2312" w:hAnsi="仿宋_GB2312" w:eastAsia="仿宋_GB2312" w:cs="仿宋_GB2312"/>
          <w:color w:val="000000"/>
          <w:kern w:val="0"/>
          <w:sz w:val="31"/>
          <w:szCs w:val="31"/>
          <w:lang w:val="en-US" w:eastAsia="zh-CN" w:bidi="ar"/>
        </w:rPr>
        <w:t>万元，增长</w:t>
      </w:r>
      <w:r>
        <w:rPr>
          <w:rFonts w:hint="eastAsia" w:ascii="仿宋_GB2312" w:hAnsi="仿宋_GB2312" w:eastAsia="仿宋_GB2312" w:cs="仿宋_GB2312"/>
          <w:color w:val="000000"/>
          <w:kern w:val="0"/>
          <w:sz w:val="31"/>
          <w:szCs w:val="31"/>
          <w:lang w:val="en-US" w:eastAsia="zh-CN" w:bidi="ar"/>
        </w:rPr>
        <w:t>9.20</w:t>
      </w:r>
      <w:r>
        <w:rPr>
          <w:rFonts w:ascii="仿宋_GB2312" w:hAnsi="仿宋_GB2312" w:eastAsia="仿宋_GB2312" w:cs="仿宋_GB2312"/>
          <w:color w:val="000000"/>
          <w:kern w:val="0"/>
          <w:sz w:val="31"/>
          <w:szCs w:val="31"/>
          <w:lang w:val="en-US" w:eastAsia="zh-CN" w:bidi="ar"/>
        </w:rPr>
        <w:t>%。主要原因是</w:t>
      </w:r>
      <w:r>
        <w:rPr>
          <w:rFonts w:hint="eastAsia" w:ascii="仿宋_GB2312" w:hAnsi="仿宋_GB2312" w:eastAsia="仿宋_GB2312" w:cs="仿宋_GB2312"/>
          <w:color w:val="000000"/>
          <w:kern w:val="0"/>
          <w:sz w:val="31"/>
          <w:szCs w:val="31"/>
          <w:lang w:val="en-US" w:eastAsia="zh-CN" w:bidi="ar"/>
        </w:rPr>
        <w:t>缴纳车辆税款</w:t>
      </w:r>
      <w:r>
        <w:rPr>
          <w:rFonts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eastAsia" w:ascii="仿宋_GB2312" w:hAnsi="仿宋_GB2312" w:eastAsia="仿宋_GB2312" w:cs="仿宋_GB2312"/>
          <w:color w:val="000000"/>
          <w:kern w:val="0"/>
          <w:sz w:val="31"/>
          <w:szCs w:val="31"/>
          <w:lang w:val="en-US" w:eastAsia="zh-CN" w:bidi="ar"/>
        </w:rPr>
      </w:pPr>
      <w:r>
        <w:rPr>
          <w:rFonts w:ascii="仿宋_GB2312" w:hAnsi="仿宋_GB2312" w:eastAsia="仿宋_GB2312" w:cs="仿宋_GB2312"/>
          <w:color w:val="000000"/>
          <w:kern w:val="0"/>
          <w:sz w:val="31"/>
          <w:szCs w:val="31"/>
          <w:lang w:val="en-US" w:eastAsia="zh-CN" w:bidi="ar"/>
        </w:rPr>
        <w:t>其中：</w:t>
      </w:r>
      <w:r>
        <w:rPr>
          <w:rFonts w:ascii="仿宋_GB2312" w:hAnsi="仿宋_GB2312" w:eastAsia="仿宋_GB2312" w:cs="仿宋_GB2312"/>
          <w:b/>
          <w:bCs/>
          <w:color w:val="000000"/>
          <w:kern w:val="0"/>
          <w:sz w:val="31"/>
          <w:szCs w:val="31"/>
          <w:lang w:val="en-US" w:eastAsia="zh-CN" w:bidi="ar"/>
        </w:rPr>
        <w:t>公务用车购置支出</w:t>
      </w:r>
      <w:r>
        <w:rPr>
          <w:rFonts w:hint="eastAsia" w:ascii="仿宋_GB2312" w:hAnsi="仿宋_GB2312" w:eastAsia="仿宋_GB2312" w:cs="仿宋_GB2312"/>
          <w:color w:val="000000"/>
          <w:kern w:val="0"/>
          <w:sz w:val="31"/>
          <w:szCs w:val="31"/>
          <w:lang w:val="en-US" w:eastAsia="zh-CN" w:bidi="ar"/>
        </w:rPr>
        <w:t>66.19</w:t>
      </w:r>
      <w:r>
        <w:rPr>
          <w:rFonts w:ascii="仿宋_GB2312" w:hAnsi="仿宋_GB2312" w:eastAsia="仿宋_GB2312" w:cs="仿宋_GB2312"/>
          <w:color w:val="000000"/>
          <w:kern w:val="0"/>
          <w:sz w:val="31"/>
          <w:szCs w:val="31"/>
          <w:lang w:val="en-US" w:eastAsia="zh-CN" w:bidi="ar"/>
        </w:rPr>
        <w:t>万元。全年按规定更新购置 公务用车</w:t>
      </w:r>
      <w:r>
        <w:rPr>
          <w:rFonts w:hint="eastAsia" w:ascii="仿宋_GB2312" w:hAnsi="仿宋_GB2312" w:eastAsia="仿宋_GB2312" w:cs="仿宋_GB2312"/>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辆，其中：轿车</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辆、金额</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万元，越野车</w:t>
      </w:r>
      <w:r>
        <w:rPr>
          <w:rFonts w:hint="eastAsia" w:ascii="仿宋_GB2312" w:hAnsi="仿宋_GB2312" w:eastAsia="仿宋_GB2312" w:cs="仿宋_GB2312"/>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辆、金额</w:t>
      </w:r>
      <w:r>
        <w:rPr>
          <w:rFonts w:hint="eastAsia" w:ascii="仿宋_GB2312" w:hAnsi="仿宋_GB2312" w:eastAsia="仿宋_GB2312" w:cs="仿宋_GB2312"/>
          <w:color w:val="000000"/>
          <w:kern w:val="0"/>
          <w:sz w:val="31"/>
          <w:szCs w:val="31"/>
          <w:lang w:val="en-US" w:eastAsia="zh-CN" w:bidi="ar"/>
        </w:rPr>
        <w:t>66.19</w:t>
      </w:r>
      <w:r>
        <w:rPr>
          <w:rFonts w:ascii="仿宋_GB2312" w:hAnsi="仿宋_GB2312" w:eastAsia="仿宋_GB2312" w:cs="仿宋_GB2312"/>
          <w:color w:val="000000"/>
          <w:kern w:val="0"/>
          <w:sz w:val="31"/>
          <w:szCs w:val="31"/>
          <w:lang w:val="en-US" w:eastAsia="zh-CN" w:bidi="ar"/>
        </w:rPr>
        <w:t>万元，载客汽车</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辆、金额</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万元，主要用于</w:t>
      </w:r>
      <w:r>
        <w:rPr>
          <w:rFonts w:hint="eastAsia" w:ascii="仿宋_GB2312" w:hAnsi="仿宋_GB2312" w:eastAsia="仿宋_GB2312" w:cs="仿宋_GB2312"/>
          <w:color w:val="000000"/>
          <w:kern w:val="0"/>
          <w:sz w:val="31"/>
          <w:szCs w:val="31"/>
          <w:lang w:val="en-US" w:eastAsia="zh-CN" w:bidi="ar"/>
        </w:rPr>
        <w:t>管理局执行公务活动、开展业务活动等所需的公务用车</w:t>
      </w:r>
      <w:r>
        <w:rPr>
          <w:rFonts w:ascii="仿宋_GB2312" w:hAnsi="仿宋_GB2312" w:eastAsia="仿宋_GB2312" w:cs="仿宋_GB2312"/>
          <w:color w:val="000000"/>
          <w:kern w:val="0"/>
          <w:sz w:val="31"/>
          <w:szCs w:val="31"/>
          <w:lang w:val="en-US" w:eastAsia="zh-CN" w:bidi="ar"/>
        </w:rPr>
        <w:t>。</w:t>
      </w:r>
      <w:r>
        <w:rPr>
          <w:rFonts w:hint="eastAsia" w:ascii="仿宋_GB2312" w:hAnsi="仿宋_GB2312" w:eastAsia="仿宋_GB2312" w:cs="仿宋_GB2312"/>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color w:val="FF0000"/>
        </w:rPr>
      </w:pPr>
      <w:r>
        <w:rPr>
          <w:rFonts w:ascii="仿宋_GB2312" w:hAnsi="仿宋_GB2312" w:eastAsia="仿宋_GB2312" w:cs="仿宋_GB2312"/>
          <w:color w:val="000000"/>
          <w:kern w:val="0"/>
          <w:sz w:val="31"/>
          <w:szCs w:val="31"/>
          <w:lang w:val="en-US" w:eastAsia="zh-CN" w:bidi="ar"/>
        </w:rPr>
        <w:t>截至 2021年 12月底，单位共有公务用车</w:t>
      </w:r>
      <w:r>
        <w:rPr>
          <w:rFonts w:hint="eastAsia" w:ascii="仿宋_GB2312" w:hAnsi="仿宋_GB2312" w:eastAsia="仿宋_GB2312" w:cs="仿宋_GB2312"/>
          <w:color w:val="000000"/>
          <w:kern w:val="0"/>
          <w:sz w:val="31"/>
          <w:szCs w:val="31"/>
          <w:lang w:val="en-US" w:eastAsia="zh-CN" w:bidi="ar"/>
        </w:rPr>
        <w:t>20</w:t>
      </w:r>
      <w:r>
        <w:rPr>
          <w:rFonts w:ascii="仿宋_GB2312" w:hAnsi="仿宋_GB2312" w:eastAsia="仿宋_GB2312" w:cs="仿宋_GB2312"/>
          <w:color w:val="000000"/>
          <w:kern w:val="0"/>
          <w:sz w:val="31"/>
          <w:szCs w:val="31"/>
          <w:lang w:val="en-US" w:eastAsia="zh-CN" w:bidi="ar"/>
        </w:rPr>
        <w:t>辆，其中：</w:t>
      </w:r>
      <w:r>
        <w:rPr>
          <w:rFonts w:ascii="仿宋_GB2312" w:hAnsi="仿宋_GB2312" w:eastAsia="仿宋_GB2312" w:cs="仿宋_GB2312"/>
          <w:color w:val="auto"/>
          <w:kern w:val="0"/>
          <w:sz w:val="31"/>
          <w:szCs w:val="31"/>
          <w:shd w:val="clear" w:color="auto" w:fill="auto"/>
          <w:lang w:val="en-US" w:eastAsia="zh-CN" w:bidi="ar"/>
        </w:rPr>
        <w:t>越野车</w:t>
      </w:r>
      <w:r>
        <w:rPr>
          <w:rFonts w:hint="eastAsia" w:ascii="仿宋_GB2312" w:hAnsi="仿宋_GB2312" w:eastAsia="仿宋_GB2312" w:cs="仿宋_GB2312"/>
          <w:color w:val="auto"/>
          <w:kern w:val="0"/>
          <w:sz w:val="31"/>
          <w:szCs w:val="31"/>
          <w:shd w:val="clear" w:color="auto" w:fill="auto"/>
          <w:lang w:val="en-US" w:eastAsia="zh-CN" w:bidi="ar"/>
        </w:rPr>
        <w:t>7</w:t>
      </w:r>
      <w:r>
        <w:rPr>
          <w:rFonts w:ascii="仿宋_GB2312" w:hAnsi="仿宋_GB2312" w:eastAsia="仿宋_GB2312" w:cs="仿宋_GB2312"/>
          <w:color w:val="auto"/>
          <w:kern w:val="0"/>
          <w:sz w:val="31"/>
          <w:szCs w:val="31"/>
          <w:shd w:val="clear" w:color="auto" w:fill="auto"/>
          <w:lang w:val="en-US" w:eastAsia="zh-CN" w:bidi="ar"/>
        </w:rPr>
        <w:t>辆、</w:t>
      </w:r>
      <w:r>
        <w:rPr>
          <w:rFonts w:hint="eastAsia" w:ascii="仿宋_GB2312" w:hAnsi="仿宋_GB2312" w:eastAsia="仿宋_GB2312" w:cs="仿宋_GB2312"/>
          <w:color w:val="auto"/>
          <w:kern w:val="0"/>
          <w:sz w:val="31"/>
          <w:szCs w:val="31"/>
          <w:shd w:val="clear" w:color="auto" w:fill="auto"/>
          <w:lang w:val="en-US" w:eastAsia="zh-CN" w:bidi="ar"/>
        </w:rPr>
        <w:t>皮卡生产用车2辆，车载移动厕所2辆，洒水车1辆，消防车1辆，其他车辆7辆</w:t>
      </w:r>
      <w:r>
        <w:rPr>
          <w:rFonts w:ascii="仿宋_GB2312" w:hAnsi="仿宋_GB2312" w:eastAsia="仿宋_GB2312" w:cs="仿宋_GB2312"/>
          <w:color w:val="auto"/>
          <w:kern w:val="0"/>
          <w:sz w:val="31"/>
          <w:szCs w:val="31"/>
          <w:shd w:val="clear" w:color="auto" w:fill="auto"/>
          <w:lang w:val="en-US" w:eastAsia="zh-CN" w:bidi="ar"/>
        </w:rPr>
        <w:t>。</w:t>
      </w:r>
      <w:r>
        <w:rPr>
          <w:rFonts w:ascii="仿宋_GB2312" w:hAnsi="仿宋_GB2312" w:eastAsia="仿宋_GB2312" w:cs="仿宋_GB2312"/>
          <w:b/>
          <w:bCs/>
          <w:color w:val="auto"/>
          <w:kern w:val="0"/>
          <w:sz w:val="31"/>
          <w:szCs w:val="31"/>
          <w:shd w:val="clear" w:color="auto" w:fill="auto"/>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ascii="仿宋_GB2312" w:hAnsi="仿宋_GB2312" w:eastAsia="仿宋_GB2312" w:cs="仿宋_GB2312"/>
          <w:b/>
          <w:bCs/>
          <w:color w:val="000000"/>
          <w:kern w:val="0"/>
          <w:sz w:val="31"/>
          <w:szCs w:val="31"/>
          <w:lang w:val="en-US" w:eastAsia="zh-CN" w:bidi="ar"/>
        </w:rPr>
        <w:t>公务用车运行维护费支出</w:t>
      </w:r>
      <w:r>
        <w:rPr>
          <w:rFonts w:hint="eastAsia" w:ascii="仿宋_GB2312" w:hAnsi="仿宋_GB2312" w:eastAsia="仿宋_GB2312" w:cs="仿宋_GB2312"/>
          <w:color w:val="000000"/>
          <w:kern w:val="0"/>
          <w:sz w:val="31"/>
          <w:szCs w:val="31"/>
          <w:lang w:val="en-US" w:eastAsia="zh-CN" w:bidi="ar"/>
        </w:rPr>
        <w:t>97.22</w:t>
      </w:r>
      <w:r>
        <w:rPr>
          <w:rFonts w:ascii="仿宋_GB2312" w:hAnsi="仿宋_GB2312" w:eastAsia="仿宋_GB2312" w:cs="仿宋_GB2312"/>
          <w:color w:val="000000"/>
          <w:kern w:val="0"/>
          <w:sz w:val="31"/>
          <w:szCs w:val="31"/>
          <w:lang w:val="en-US" w:eastAsia="zh-CN" w:bidi="ar"/>
        </w:rPr>
        <w:t>万元。主要用于</w:t>
      </w:r>
      <w:r>
        <w:rPr>
          <w:rFonts w:hint="eastAsia" w:ascii="仿宋_GB2312" w:hAnsi="仿宋_GB2312" w:eastAsia="仿宋_GB2312" w:cs="仿宋_GB2312"/>
          <w:color w:val="000000"/>
          <w:kern w:val="0"/>
          <w:sz w:val="31"/>
          <w:szCs w:val="31"/>
          <w:lang w:val="en-US" w:eastAsia="zh-CN" w:bidi="ar"/>
        </w:rPr>
        <w:t>管理局执行公务活动、开展业务活动</w:t>
      </w:r>
      <w:r>
        <w:rPr>
          <w:rFonts w:ascii="仿宋_GB2312" w:hAnsi="仿宋_GB2312" w:eastAsia="仿宋_GB2312" w:cs="仿宋_GB2312"/>
          <w:color w:val="000000"/>
          <w:kern w:val="0"/>
          <w:sz w:val="31"/>
          <w:szCs w:val="31"/>
          <w:lang w:val="en-US" w:eastAsia="zh-CN" w:bidi="ar"/>
        </w:rPr>
        <w:t xml:space="preserve">等所需的公务用车燃料费、维修费、过路过桥费、保险费等支出。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ascii="仿宋_GB2312" w:hAnsi="仿宋_GB2312" w:eastAsia="仿宋_GB2312" w:cs="仿宋_GB2312"/>
          <w:b/>
          <w:bCs/>
          <w:color w:val="000000"/>
          <w:kern w:val="0"/>
          <w:sz w:val="31"/>
          <w:szCs w:val="31"/>
          <w:lang w:val="en-US" w:eastAsia="zh-CN" w:bidi="ar"/>
        </w:rPr>
        <w:t>3.公务接待费支出</w:t>
      </w:r>
      <w:r>
        <w:rPr>
          <w:rFonts w:hint="eastAsia" w:ascii="仿宋_GB2312" w:hAnsi="仿宋_GB2312" w:eastAsia="仿宋_GB2312" w:cs="仿宋_GB2312"/>
          <w:color w:val="000000"/>
          <w:kern w:val="0"/>
          <w:sz w:val="31"/>
          <w:szCs w:val="31"/>
          <w:lang w:val="en-US" w:eastAsia="zh-CN" w:bidi="ar"/>
        </w:rPr>
        <w:t>47.54</w:t>
      </w:r>
      <w:r>
        <w:rPr>
          <w:rFonts w:ascii="仿宋_GB2312" w:hAnsi="仿宋_GB2312" w:eastAsia="仿宋_GB2312" w:cs="仿宋_GB2312"/>
          <w:color w:val="000000"/>
          <w:kern w:val="0"/>
          <w:sz w:val="31"/>
          <w:szCs w:val="31"/>
          <w:lang w:val="en-US" w:eastAsia="zh-CN" w:bidi="ar"/>
        </w:rPr>
        <w:t>万元，</w:t>
      </w:r>
      <w:r>
        <w:rPr>
          <w:rFonts w:hint="eastAsia" w:ascii="仿宋" w:hAnsi="仿宋" w:eastAsia="仿宋" w:cs="仿宋"/>
          <w:color w:val="000000"/>
          <w:kern w:val="0"/>
          <w:sz w:val="31"/>
          <w:szCs w:val="31"/>
          <w:lang w:val="en-US" w:eastAsia="zh-CN" w:bidi="ar"/>
        </w:rPr>
        <w:t>完成预算100%。</w:t>
      </w:r>
      <w:r>
        <w:rPr>
          <w:rFonts w:ascii="仿宋_GB2312" w:hAnsi="仿宋_GB2312" w:eastAsia="仿宋_GB2312" w:cs="仿宋_GB2312"/>
          <w:color w:val="000000"/>
          <w:kern w:val="0"/>
          <w:sz w:val="31"/>
          <w:szCs w:val="31"/>
          <w:lang w:val="en-US" w:eastAsia="zh-CN" w:bidi="ar"/>
        </w:rPr>
        <w:t>公务接待费支出决算比 2020年增加</w:t>
      </w:r>
      <w:r>
        <w:rPr>
          <w:rFonts w:hint="eastAsia" w:ascii="仿宋_GB2312" w:hAnsi="仿宋_GB2312" w:eastAsia="仿宋_GB2312" w:cs="仿宋_GB2312"/>
          <w:color w:val="000000"/>
          <w:kern w:val="0"/>
          <w:sz w:val="31"/>
          <w:szCs w:val="31"/>
          <w:lang w:val="en-US" w:eastAsia="zh-CN" w:bidi="ar"/>
        </w:rPr>
        <w:t>6.39万元，增长15.52%。主要原因是景区以丰富游客体验度为手段，创新策划和举办“零度”音乐会、“ABA”综合格斗精英赛、“汽车穿越之旅”等主题营销活动10余个，同时通过“抖音”“小红书博主”等新型媒体和“旅游+网红”渠道、体验式营销等方式加大了宣传营销力度。</w:t>
      </w:r>
      <w:r>
        <w:rPr>
          <w:rFonts w:ascii="仿宋_GB2312" w:hAnsi="仿宋_GB2312" w:eastAsia="仿宋_GB2312" w:cs="仿宋_GB2312"/>
          <w:color w:val="000000"/>
          <w:kern w:val="0"/>
          <w:sz w:val="31"/>
          <w:szCs w:val="31"/>
          <w:lang w:val="en-US" w:eastAsia="zh-CN" w:bidi="ar"/>
        </w:rPr>
        <w:t xml:space="preserve">其中：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国内公务接待支出</w:t>
      </w:r>
      <w:r>
        <w:rPr>
          <w:rFonts w:hint="eastAsia" w:ascii="仿宋_GB2312" w:hAnsi="仿宋_GB2312" w:eastAsia="仿宋_GB2312" w:cs="仿宋_GB2312"/>
          <w:color w:val="000000"/>
          <w:kern w:val="0"/>
          <w:sz w:val="31"/>
          <w:szCs w:val="31"/>
          <w:lang w:val="en-US" w:eastAsia="zh-CN" w:bidi="ar"/>
        </w:rPr>
        <w:t>47.54</w:t>
      </w:r>
      <w:r>
        <w:rPr>
          <w:rFonts w:ascii="仿宋_GB2312" w:hAnsi="仿宋_GB2312" w:eastAsia="仿宋_GB2312" w:cs="仿宋_GB2312"/>
          <w:color w:val="000000"/>
          <w:kern w:val="0"/>
          <w:sz w:val="31"/>
          <w:szCs w:val="31"/>
          <w:lang w:val="en-US" w:eastAsia="zh-CN" w:bidi="ar"/>
        </w:rPr>
        <w:t>万元，主要用于</w:t>
      </w:r>
      <w:r>
        <w:rPr>
          <w:rFonts w:hint="eastAsia" w:ascii="仿宋_GB2312" w:hAnsi="仿宋_GB2312" w:eastAsia="仿宋_GB2312" w:cs="仿宋_GB2312"/>
          <w:color w:val="000000"/>
          <w:kern w:val="0"/>
          <w:sz w:val="31"/>
          <w:szCs w:val="31"/>
          <w:lang w:val="en-US" w:eastAsia="zh-CN" w:bidi="ar"/>
        </w:rPr>
        <w:t>与相关单位交流工作、开展业务合作、开展活动等情况以及接收相关部门检查指导工作发生的用餐费、住宿费等接待支出。</w:t>
      </w:r>
      <w:r>
        <w:rPr>
          <w:rFonts w:ascii="仿宋_GB2312" w:hAnsi="仿宋_GB2312" w:eastAsia="仿宋_GB2312" w:cs="仿宋_GB2312"/>
          <w:color w:val="000000"/>
          <w:kern w:val="0"/>
          <w:sz w:val="31"/>
          <w:szCs w:val="31"/>
          <w:lang w:val="en-US" w:eastAsia="zh-CN" w:bidi="ar"/>
        </w:rPr>
        <w:t>国内公务接待</w:t>
      </w:r>
      <w:r>
        <w:rPr>
          <w:rFonts w:hint="eastAsia" w:ascii="仿宋_GB2312" w:hAnsi="仿宋_GB2312" w:eastAsia="仿宋_GB2312" w:cs="仿宋_GB2312"/>
          <w:color w:val="000000"/>
          <w:kern w:val="0"/>
          <w:sz w:val="31"/>
          <w:szCs w:val="31"/>
          <w:lang w:val="en-US" w:eastAsia="zh-CN" w:bidi="ar"/>
        </w:rPr>
        <w:t>224</w:t>
      </w:r>
      <w:r>
        <w:rPr>
          <w:rFonts w:ascii="仿宋_GB2312" w:hAnsi="仿宋_GB2312" w:eastAsia="仿宋_GB2312" w:cs="仿宋_GB2312"/>
          <w:color w:val="000000"/>
          <w:kern w:val="0"/>
          <w:sz w:val="31"/>
          <w:szCs w:val="31"/>
          <w:lang w:val="en-US" w:eastAsia="zh-CN" w:bidi="ar"/>
        </w:rPr>
        <w:t>批次，</w:t>
      </w:r>
      <w:r>
        <w:rPr>
          <w:rFonts w:hint="eastAsia" w:ascii="仿宋_GB2312" w:hAnsi="仿宋_GB2312" w:eastAsia="仿宋_GB2312" w:cs="仿宋_GB2312"/>
          <w:color w:val="000000"/>
          <w:kern w:val="0"/>
          <w:sz w:val="31"/>
          <w:szCs w:val="31"/>
          <w:lang w:val="en-US" w:eastAsia="zh-CN" w:bidi="ar"/>
        </w:rPr>
        <w:t>4562</w:t>
      </w:r>
      <w:r>
        <w:rPr>
          <w:rFonts w:ascii="仿宋_GB2312" w:hAnsi="仿宋_GB2312" w:eastAsia="仿宋_GB2312" w:cs="仿宋_GB2312"/>
          <w:color w:val="000000"/>
          <w:kern w:val="0"/>
          <w:sz w:val="31"/>
          <w:szCs w:val="31"/>
          <w:lang w:val="en-US" w:eastAsia="zh-CN" w:bidi="ar"/>
        </w:rPr>
        <w:t>人次（不包括陪同人员），共计支出</w:t>
      </w:r>
      <w:r>
        <w:rPr>
          <w:rFonts w:hint="eastAsia" w:ascii="仿宋_GB2312" w:hAnsi="仿宋_GB2312" w:eastAsia="仿宋_GB2312" w:cs="仿宋_GB2312"/>
          <w:color w:val="000000"/>
          <w:kern w:val="0"/>
          <w:sz w:val="31"/>
          <w:szCs w:val="31"/>
          <w:lang w:val="en-US" w:eastAsia="zh-CN" w:bidi="ar"/>
        </w:rPr>
        <w:t>47.54</w:t>
      </w:r>
      <w:r>
        <w:rPr>
          <w:rFonts w:ascii="仿宋_GB2312" w:hAnsi="仿宋_GB2312" w:eastAsia="仿宋_GB2312" w:cs="仿宋_GB2312"/>
          <w:color w:val="000000"/>
          <w:kern w:val="0"/>
          <w:sz w:val="31"/>
          <w:szCs w:val="31"/>
          <w:lang w:val="en-US" w:eastAsia="zh-CN" w:bidi="ar"/>
        </w:rPr>
        <w:t>万元</w:t>
      </w:r>
      <w:r>
        <w:rPr>
          <w:rFonts w:hint="eastAsia"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外事接待支出</w:t>
      </w:r>
      <w:r>
        <w:rPr>
          <w:rFonts w:hint="eastAsia" w:ascii="仿宋" w:hAnsi="仿宋" w:eastAsia="仿宋" w:cs="仿宋"/>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万元，外事接待</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批次，</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 xml:space="preserve">人，共计支 </w:t>
      </w:r>
    </w:p>
    <w:p>
      <w:pPr>
        <w:keepNext w:val="0"/>
        <w:keepLines w:val="0"/>
        <w:pageBreakBefore w:val="0"/>
        <w:widowControl/>
        <w:suppressLineNumbers w:val="0"/>
        <w:kinsoku/>
        <w:wordWrap/>
        <w:overflowPunct/>
        <w:topLinePunct w:val="0"/>
        <w:bidi w:val="0"/>
        <w:spacing w:line="480" w:lineRule="exact"/>
        <w:jc w:val="left"/>
        <w:textAlignment w:val="auto"/>
        <w:rPr>
          <w:rFonts w:hint="default"/>
          <w:lang w:val="en-US"/>
        </w:rPr>
      </w:pPr>
      <w:r>
        <w:rPr>
          <w:rFonts w:ascii="仿宋_GB2312" w:hAnsi="仿宋_GB2312" w:eastAsia="仿宋_GB2312" w:cs="仿宋_GB2312"/>
          <w:color w:val="000000"/>
          <w:kern w:val="0"/>
          <w:sz w:val="31"/>
          <w:szCs w:val="31"/>
          <w:lang w:val="en-US" w:eastAsia="zh-CN" w:bidi="ar"/>
        </w:rPr>
        <w:t>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w:t>
      </w:r>
      <w:r>
        <w:rPr>
          <w:rFonts w:hint="eastAsia" w:ascii="仿宋_GB2312" w:hAnsi="仿宋_GB2312" w:eastAsia="仿宋_GB2312" w:cs="仿宋_GB2312"/>
          <w:color w:val="000000"/>
          <w:kern w:val="0"/>
          <w:sz w:val="31"/>
          <w:szCs w:val="31"/>
          <w:lang w:val="en-US" w:eastAsia="zh-CN" w:bidi="ar"/>
        </w:rPr>
        <w:t>。</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八、政府性基金预算支出决算情况说明</w:t>
      </w:r>
      <w:r>
        <w:rPr>
          <w:rFonts w:hint="eastAsia" w:ascii="黑体" w:hAnsi="宋体" w:eastAsia="黑体" w:cs="黑体"/>
          <w:b/>
          <w:bCs/>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ascii="仿宋_GB2312" w:hAnsi="仿宋_GB2312" w:eastAsia="仿宋_GB2312" w:cs="仿宋_GB2312"/>
          <w:color w:val="000000"/>
          <w:kern w:val="0"/>
          <w:sz w:val="31"/>
          <w:szCs w:val="31"/>
          <w:lang w:val="en-US" w:eastAsia="zh-CN" w:bidi="ar"/>
        </w:rPr>
        <w:t>2021年政府性基金预算财政拨款支出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 xml:space="preserve">万元。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九、国有资本经营预算支出决算情况说明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ascii="仿宋_GB2312" w:hAnsi="仿宋_GB2312" w:eastAsia="仿宋_GB2312" w:cs="仿宋_GB2312"/>
          <w:color w:val="000000"/>
          <w:kern w:val="0"/>
          <w:sz w:val="31"/>
          <w:szCs w:val="31"/>
          <w:lang w:val="en-US" w:eastAsia="zh-CN" w:bidi="ar"/>
        </w:rPr>
        <w:t>2021年国有资本经营预算财政拨款支出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 xml:space="preserve">万元。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hint="eastAsia" w:ascii="黑体" w:hAnsi="宋体" w:eastAsia="黑体" w:cs="黑体"/>
          <w:color w:val="000000"/>
          <w:kern w:val="0"/>
          <w:sz w:val="31"/>
          <w:szCs w:val="31"/>
          <w:lang w:val="en-US" w:eastAsia="zh-CN" w:bidi="ar"/>
        </w:rPr>
        <w:t xml:space="preserve">十、其他重要事项的情况说明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（一）机关运行经费支出情况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rPr>
          <w:rFonts w:hint="default"/>
          <w:lang w:val="en-US"/>
        </w:rPr>
      </w:pPr>
      <w:r>
        <w:rPr>
          <w:rFonts w:ascii="仿宋_GB2312" w:hAnsi="仿宋_GB2312" w:eastAsia="仿宋_GB2312" w:cs="仿宋_GB2312"/>
          <w:color w:val="000000"/>
          <w:kern w:val="0"/>
          <w:sz w:val="31"/>
          <w:szCs w:val="31"/>
          <w:lang w:val="en-US" w:eastAsia="zh-CN" w:bidi="ar"/>
        </w:rPr>
        <w:t>2021年，</w:t>
      </w:r>
      <w:r>
        <w:rPr>
          <w:rFonts w:hint="eastAsia" w:ascii="仿宋_GB2312" w:hAnsi="仿宋_GB2312" w:eastAsia="仿宋_GB2312" w:cs="仿宋_GB2312"/>
          <w:color w:val="000000"/>
          <w:kern w:val="0"/>
          <w:sz w:val="31"/>
          <w:szCs w:val="31"/>
          <w:lang w:val="en-US" w:eastAsia="zh-CN" w:bidi="ar"/>
        </w:rPr>
        <w:t>达古冰川管理局</w:t>
      </w:r>
      <w:r>
        <w:rPr>
          <w:rFonts w:ascii="仿宋_GB2312" w:hAnsi="仿宋_GB2312" w:eastAsia="仿宋_GB2312" w:cs="仿宋_GB2312"/>
          <w:color w:val="000000"/>
          <w:kern w:val="0"/>
          <w:sz w:val="31"/>
          <w:szCs w:val="31"/>
          <w:lang w:val="en-US" w:eastAsia="zh-CN" w:bidi="ar"/>
        </w:rPr>
        <w:t>机关运行经费支出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万元，与 2020年决算数持平。 主要原因是</w:t>
      </w:r>
      <w:r>
        <w:rPr>
          <w:rFonts w:hint="eastAsia" w:ascii="仿宋_GB2312" w:hAnsi="仿宋_GB2312" w:eastAsia="仿宋_GB2312" w:cs="仿宋_GB2312"/>
          <w:color w:val="000000"/>
          <w:kern w:val="0"/>
          <w:sz w:val="31"/>
          <w:szCs w:val="31"/>
          <w:lang w:val="en-US" w:eastAsia="zh-CN" w:bidi="ar"/>
        </w:rPr>
        <w:t>我局无行政单位和参照公务员法管理事业单位。</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（二）政府采购支出情况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ascii="仿宋_GB2312" w:hAnsi="仿宋_GB2312" w:eastAsia="仿宋_GB2312" w:cs="仿宋_GB2312"/>
          <w:color w:val="000000"/>
          <w:kern w:val="0"/>
          <w:sz w:val="31"/>
          <w:szCs w:val="31"/>
          <w:lang w:val="en-US" w:eastAsia="zh-CN" w:bidi="ar"/>
        </w:rPr>
        <w:t>2021年，</w:t>
      </w:r>
      <w:r>
        <w:rPr>
          <w:rFonts w:hint="eastAsia" w:ascii="仿宋_GB2312" w:hAnsi="仿宋_GB2312" w:eastAsia="仿宋_GB2312" w:cs="仿宋_GB2312"/>
          <w:color w:val="000000"/>
          <w:kern w:val="0"/>
          <w:sz w:val="31"/>
          <w:szCs w:val="31"/>
          <w:lang w:val="en-US" w:eastAsia="zh-CN" w:bidi="ar"/>
        </w:rPr>
        <w:t>达古冰川</w:t>
      </w:r>
      <w:r>
        <w:rPr>
          <w:rFonts w:ascii="仿宋_GB2312" w:hAnsi="仿宋_GB2312" w:eastAsia="仿宋_GB2312" w:cs="仿宋_GB2312"/>
          <w:color w:val="000000"/>
          <w:kern w:val="0"/>
          <w:sz w:val="31"/>
          <w:szCs w:val="31"/>
          <w:lang w:val="en-US" w:eastAsia="zh-CN" w:bidi="ar"/>
        </w:rPr>
        <w:t>政府采购支出总额</w:t>
      </w:r>
      <w:r>
        <w:rPr>
          <w:rFonts w:hint="eastAsia" w:ascii="仿宋_GB2312" w:hAnsi="仿宋_GB2312" w:eastAsia="仿宋_GB2312" w:cs="仿宋_GB2312"/>
          <w:color w:val="000000"/>
          <w:kern w:val="0"/>
          <w:sz w:val="31"/>
          <w:szCs w:val="31"/>
          <w:lang w:val="en-US" w:eastAsia="zh-CN" w:bidi="ar"/>
        </w:rPr>
        <w:t>102.00</w:t>
      </w:r>
      <w:r>
        <w:rPr>
          <w:rFonts w:ascii="仿宋_GB2312" w:hAnsi="仿宋_GB2312" w:eastAsia="仿宋_GB2312" w:cs="仿宋_GB2312"/>
          <w:color w:val="000000"/>
          <w:kern w:val="0"/>
          <w:sz w:val="31"/>
          <w:szCs w:val="31"/>
          <w:lang w:val="en-US" w:eastAsia="zh-CN" w:bidi="ar"/>
        </w:rPr>
        <w:t>万元，其中：政府采购货物支出</w:t>
      </w:r>
      <w:r>
        <w:rPr>
          <w:rFonts w:hint="eastAsia" w:ascii="仿宋_GB2312" w:hAnsi="仿宋_GB2312" w:eastAsia="仿宋_GB2312" w:cs="仿宋_GB2312"/>
          <w:color w:val="000000"/>
          <w:kern w:val="0"/>
          <w:sz w:val="31"/>
          <w:szCs w:val="31"/>
          <w:lang w:val="en-US" w:eastAsia="zh-CN" w:bidi="ar"/>
        </w:rPr>
        <w:t>68.49</w:t>
      </w:r>
      <w:r>
        <w:rPr>
          <w:rFonts w:ascii="仿宋_GB2312" w:hAnsi="仿宋_GB2312" w:eastAsia="仿宋_GB2312" w:cs="仿宋_GB2312"/>
          <w:color w:val="000000"/>
          <w:kern w:val="0"/>
          <w:sz w:val="31"/>
          <w:szCs w:val="31"/>
          <w:lang w:val="en-US" w:eastAsia="zh-CN" w:bidi="ar"/>
        </w:rPr>
        <w:t>万元、政府采购工程支出</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万元、政府采购服务支出</w:t>
      </w:r>
      <w:r>
        <w:rPr>
          <w:rFonts w:hint="eastAsia" w:ascii="仿宋_GB2312" w:hAnsi="仿宋_GB2312" w:eastAsia="仿宋_GB2312" w:cs="仿宋_GB2312"/>
          <w:color w:val="000000"/>
          <w:kern w:val="0"/>
          <w:sz w:val="31"/>
          <w:szCs w:val="31"/>
          <w:lang w:val="en-US" w:eastAsia="zh-CN" w:bidi="ar"/>
        </w:rPr>
        <w:t>33.51</w:t>
      </w:r>
      <w:r>
        <w:rPr>
          <w:rFonts w:ascii="仿宋_GB2312" w:hAnsi="仿宋_GB2312" w:eastAsia="仿宋_GB2312" w:cs="仿宋_GB2312"/>
          <w:color w:val="000000"/>
          <w:kern w:val="0"/>
          <w:sz w:val="31"/>
          <w:szCs w:val="31"/>
          <w:lang w:val="en-US" w:eastAsia="zh-CN" w:bidi="ar"/>
        </w:rPr>
        <w:t>万元。主要用于</w:t>
      </w:r>
      <w:r>
        <w:rPr>
          <w:rFonts w:hint="eastAsia" w:ascii="仿宋_GB2312" w:eastAsia="仿宋_GB2312"/>
          <w:color w:val="000000"/>
          <w:sz w:val="32"/>
          <w:szCs w:val="32"/>
          <w:lang w:val="en-US" w:eastAsia="zh-CN"/>
        </w:rPr>
        <w:t>营销宣传、景区基本建设等项目</w:t>
      </w:r>
      <w:r>
        <w:rPr>
          <w:rFonts w:ascii="仿宋_GB2312" w:hAnsi="仿宋_GB2312" w:eastAsia="仿宋_GB2312" w:cs="仿宋_GB2312"/>
          <w:color w:val="000000"/>
          <w:kern w:val="0"/>
          <w:sz w:val="31"/>
          <w:szCs w:val="31"/>
          <w:lang w:val="en-US" w:eastAsia="zh-CN" w:bidi="ar"/>
        </w:rPr>
        <w:t>。授予中小企业合同金额</w:t>
      </w:r>
      <w:r>
        <w:rPr>
          <w:rFonts w:hint="eastAsia" w:ascii="仿宋_GB2312" w:hAnsi="仿宋_GB2312" w:eastAsia="仿宋_GB2312" w:cs="仿宋_GB2312"/>
          <w:color w:val="000000"/>
          <w:kern w:val="0"/>
          <w:sz w:val="31"/>
          <w:szCs w:val="31"/>
          <w:lang w:val="en-US" w:eastAsia="zh-CN" w:bidi="ar"/>
        </w:rPr>
        <w:t>102.00</w:t>
      </w:r>
      <w:r>
        <w:rPr>
          <w:rFonts w:ascii="仿宋_GB2312" w:hAnsi="仿宋_GB2312" w:eastAsia="仿宋_GB2312" w:cs="仿宋_GB2312"/>
          <w:color w:val="000000"/>
          <w:kern w:val="0"/>
          <w:sz w:val="31"/>
          <w:szCs w:val="31"/>
          <w:lang w:val="en-US" w:eastAsia="zh-CN" w:bidi="ar"/>
        </w:rPr>
        <w:t>万元，占政府采购支出总额的</w:t>
      </w:r>
      <w:r>
        <w:rPr>
          <w:rFonts w:hint="eastAsia" w:ascii="仿宋_GB2312" w:hAnsi="仿宋_GB2312" w:eastAsia="仿宋_GB2312" w:cs="仿宋_GB2312"/>
          <w:color w:val="000000"/>
          <w:kern w:val="0"/>
          <w:sz w:val="31"/>
          <w:szCs w:val="31"/>
          <w:lang w:val="en-US" w:eastAsia="zh-CN" w:bidi="ar"/>
        </w:rPr>
        <w:t>100</w:t>
      </w:r>
      <w:r>
        <w:rPr>
          <w:rFonts w:ascii="仿宋_GB2312" w:hAnsi="仿宋_GB2312" w:eastAsia="仿宋_GB2312" w:cs="仿宋_GB2312"/>
          <w:color w:val="000000"/>
          <w:kern w:val="0"/>
          <w:sz w:val="31"/>
          <w:szCs w:val="31"/>
          <w:lang w:val="en-US" w:eastAsia="zh-CN" w:bidi="ar"/>
        </w:rPr>
        <w:t>%，其中：授予小微企业合同金额</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万元，占政府采购支出总额的</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rPr>
          <w:rFonts w:hint="default"/>
          <w:lang w:val="en-US"/>
        </w:rPr>
      </w:pPr>
      <w:r>
        <w:rPr>
          <w:rFonts w:hint="eastAsia" w:ascii="仿宋" w:hAnsi="仿宋" w:eastAsia="仿宋" w:cs="仿宋"/>
          <w:b/>
          <w:bCs/>
          <w:color w:val="000000"/>
          <w:kern w:val="0"/>
          <w:sz w:val="31"/>
          <w:szCs w:val="31"/>
          <w:lang w:val="en-US" w:eastAsia="zh-CN" w:bidi="ar"/>
        </w:rPr>
        <w:t xml:space="preserve">（三）国有资产占有使用情况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ascii="仿宋_GB2312" w:hAnsi="仿宋_GB2312" w:eastAsia="仿宋_GB2312" w:cs="仿宋_GB2312"/>
          <w:color w:val="000000"/>
          <w:kern w:val="0"/>
          <w:sz w:val="31"/>
          <w:szCs w:val="31"/>
          <w:lang w:val="en-US" w:eastAsia="zh-CN" w:bidi="ar"/>
        </w:rPr>
        <w:t>截至2021年12月31日，</w:t>
      </w:r>
      <w:r>
        <w:rPr>
          <w:rFonts w:hint="eastAsia" w:ascii="仿宋_GB2312" w:hAnsi="仿宋_GB2312" w:eastAsia="仿宋_GB2312" w:cs="仿宋_GB2312"/>
          <w:color w:val="000000"/>
          <w:kern w:val="0"/>
          <w:sz w:val="31"/>
          <w:szCs w:val="31"/>
          <w:lang w:val="en-US" w:eastAsia="zh-CN" w:bidi="ar"/>
        </w:rPr>
        <w:t>达古冰川管理局</w:t>
      </w:r>
      <w:r>
        <w:rPr>
          <w:rFonts w:ascii="仿宋_GB2312" w:hAnsi="仿宋_GB2312" w:eastAsia="仿宋_GB2312" w:cs="仿宋_GB2312"/>
          <w:color w:val="000000"/>
          <w:kern w:val="0"/>
          <w:sz w:val="31"/>
          <w:szCs w:val="31"/>
          <w:lang w:val="en-US" w:eastAsia="zh-CN" w:bidi="ar"/>
        </w:rPr>
        <w:t>共有车辆</w:t>
      </w:r>
      <w:r>
        <w:rPr>
          <w:rFonts w:hint="eastAsia" w:ascii="仿宋_GB2312" w:hAnsi="仿宋_GB2312" w:eastAsia="仿宋_GB2312" w:cs="仿宋_GB2312"/>
          <w:color w:val="000000"/>
          <w:kern w:val="0"/>
          <w:sz w:val="31"/>
          <w:szCs w:val="31"/>
          <w:lang w:val="en-US" w:eastAsia="zh-CN" w:bidi="ar"/>
        </w:rPr>
        <w:t>20</w:t>
      </w:r>
      <w:r>
        <w:rPr>
          <w:rFonts w:ascii="仿宋_GB2312" w:hAnsi="仿宋_GB2312" w:eastAsia="仿宋_GB2312" w:cs="仿宋_GB2312"/>
          <w:color w:val="000000"/>
          <w:kern w:val="0"/>
          <w:sz w:val="31"/>
          <w:szCs w:val="31"/>
          <w:lang w:val="en-US" w:eastAsia="zh-CN" w:bidi="ar"/>
        </w:rPr>
        <w:t>辆，其中：主要领导干部用车</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辆、机要通信用车</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辆、应急保障用车</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val="en-US" w:eastAsia="zh-CN" w:bidi="ar"/>
        </w:rPr>
        <w:t>辆、其他用车</w:t>
      </w:r>
      <w:r>
        <w:rPr>
          <w:rFonts w:hint="eastAsia" w:ascii="仿宋_GB2312" w:hAnsi="仿宋_GB2312" w:eastAsia="仿宋_GB2312" w:cs="仿宋_GB2312"/>
          <w:color w:val="000000"/>
          <w:kern w:val="0"/>
          <w:sz w:val="31"/>
          <w:szCs w:val="31"/>
          <w:lang w:val="en-US" w:eastAsia="zh-CN" w:bidi="ar"/>
        </w:rPr>
        <w:t>20</w:t>
      </w:r>
      <w:r>
        <w:rPr>
          <w:rFonts w:ascii="仿宋_GB2312" w:hAnsi="仿宋_GB2312" w:eastAsia="仿宋_GB2312" w:cs="仿宋_GB2312"/>
          <w:color w:val="000000"/>
          <w:kern w:val="0"/>
          <w:sz w:val="31"/>
          <w:szCs w:val="31"/>
          <w:lang w:val="en-US" w:eastAsia="zh-CN" w:bidi="ar"/>
        </w:rPr>
        <w:t>辆</w:t>
      </w:r>
      <w:r>
        <w:rPr>
          <w:rFonts w:hint="eastAsia"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其他用车主要</w:t>
      </w:r>
      <w:r>
        <w:rPr>
          <w:rFonts w:hint="eastAsia" w:ascii="仿宋_GB2312" w:hAnsi="仿宋_GB2312" w:eastAsia="仿宋_GB2312" w:cs="仿宋_GB2312"/>
          <w:sz w:val="32"/>
          <w:szCs w:val="32"/>
          <w:lang w:val="en-US" w:eastAsia="zh-CN"/>
        </w:rPr>
        <w:t>是用于管理局执行公务活动、开展业务活动。</w:t>
      </w:r>
      <w:r>
        <w:rPr>
          <w:rFonts w:ascii="仿宋_GB2312" w:hAnsi="仿宋_GB2312" w:eastAsia="仿宋_GB2312" w:cs="仿宋_GB2312"/>
          <w:color w:val="000000"/>
          <w:kern w:val="0"/>
          <w:sz w:val="31"/>
          <w:szCs w:val="31"/>
          <w:lang w:val="en-US" w:eastAsia="zh-CN" w:bidi="ar"/>
        </w:rPr>
        <w:t>单价50万元以上通用设备</w:t>
      </w:r>
      <w:r>
        <w:rPr>
          <w:rFonts w:hint="eastAsia" w:ascii="仿宋_GB2312" w:hAnsi="仿宋_GB2312" w:eastAsia="仿宋_GB2312" w:cs="仿宋_GB2312"/>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套，</w:t>
      </w:r>
      <w:r>
        <w:rPr>
          <w:rFonts w:hint="eastAsia" w:ascii="仿宋_GB2312" w:hAnsi="仿宋_GB2312" w:eastAsia="仿宋_GB2312" w:cs="仿宋_GB2312"/>
          <w:color w:val="000000"/>
          <w:kern w:val="0"/>
          <w:sz w:val="31"/>
          <w:szCs w:val="31"/>
          <w:lang w:val="en-US" w:eastAsia="zh-CN" w:bidi="ar"/>
        </w:rPr>
        <w:t>门禁系统1套；</w:t>
      </w:r>
      <w:r>
        <w:rPr>
          <w:rFonts w:ascii="仿宋_GB2312" w:hAnsi="仿宋_GB2312" w:eastAsia="仿宋_GB2312" w:cs="仿宋_GB2312"/>
          <w:color w:val="000000"/>
          <w:kern w:val="0"/>
          <w:sz w:val="31"/>
          <w:szCs w:val="31"/>
          <w:lang w:val="en-US" w:eastAsia="zh-CN" w:bidi="ar"/>
        </w:rPr>
        <w:t>单价100万元以上专用设备</w:t>
      </w:r>
      <w:r>
        <w:rPr>
          <w:rFonts w:hint="eastAsia" w:ascii="仿宋_GB2312" w:hAnsi="仿宋_GB2312" w:eastAsia="仿宋_GB2312" w:cs="仿宋_GB2312"/>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 xml:space="preserve">套。 </w:t>
      </w:r>
    </w:p>
    <w:p>
      <w:pPr>
        <w:keepNext w:val="0"/>
        <w:keepLines w:val="0"/>
        <w:pageBreakBefore w:val="0"/>
        <w:widowControl/>
        <w:suppressLineNumbers w:val="0"/>
        <w:kinsoku/>
        <w:wordWrap/>
        <w:overflowPunct/>
        <w:topLinePunct w:val="0"/>
        <w:bidi w:val="0"/>
        <w:spacing w:line="480" w:lineRule="exact"/>
        <w:ind w:firstLine="622" w:firstLineChars="200"/>
        <w:jc w:val="left"/>
        <w:textAlignment w:val="auto"/>
      </w:pPr>
      <w:r>
        <w:rPr>
          <w:rFonts w:hint="eastAsia" w:ascii="仿宋" w:hAnsi="仿宋" w:eastAsia="仿宋" w:cs="仿宋"/>
          <w:b/>
          <w:bCs/>
          <w:color w:val="000000"/>
          <w:kern w:val="0"/>
          <w:sz w:val="31"/>
          <w:szCs w:val="31"/>
          <w:lang w:val="en-US" w:eastAsia="zh-CN" w:bidi="ar"/>
        </w:rPr>
        <w:t xml:space="preserve">（四）预算绩效管理情况 </w:t>
      </w:r>
    </w:p>
    <w:p>
      <w:pPr>
        <w:keepNext w:val="0"/>
        <w:keepLines w:val="0"/>
        <w:pageBreakBefore w:val="0"/>
        <w:widowControl/>
        <w:suppressLineNumbers w:val="0"/>
        <w:kinsoku/>
        <w:wordWrap/>
        <w:overflowPunct/>
        <w:topLinePunct w:val="0"/>
        <w:bidi w:val="0"/>
        <w:spacing w:line="480" w:lineRule="exact"/>
        <w:ind w:firstLine="620" w:firstLineChars="200"/>
        <w:jc w:val="left"/>
        <w:textAlignment w:val="auto"/>
      </w:pPr>
      <w:r>
        <w:rPr>
          <w:rFonts w:ascii="仿宋_GB2312" w:hAnsi="仿宋_GB2312" w:eastAsia="仿宋_GB2312" w:cs="仿宋_GB2312"/>
          <w:color w:val="000000"/>
          <w:kern w:val="0"/>
          <w:sz w:val="31"/>
          <w:szCs w:val="31"/>
          <w:lang w:val="en-US" w:eastAsia="zh-CN" w:bidi="ar"/>
        </w:rPr>
        <w:t xml:space="preserve">根据预算绩效管理要求，本部门在 2021年度预算编制 </w:t>
      </w:r>
    </w:p>
    <w:p>
      <w:pPr>
        <w:keepNext w:val="0"/>
        <w:keepLines w:val="0"/>
        <w:pageBreakBefore w:val="0"/>
        <w:widowControl/>
        <w:suppressLineNumbers w:val="0"/>
        <w:kinsoku/>
        <w:wordWrap/>
        <w:overflowPunct/>
        <w:topLinePunct w:val="0"/>
        <w:bidi w:val="0"/>
        <w:spacing w:line="480" w:lineRule="exact"/>
        <w:jc w:val="left"/>
        <w:textAlignment w:val="auto"/>
      </w:pPr>
      <w:r>
        <w:rPr>
          <w:rFonts w:ascii="仿宋_GB2312" w:hAnsi="仿宋_GB2312" w:eastAsia="仿宋_GB2312" w:cs="仿宋_GB2312"/>
          <w:color w:val="000000"/>
          <w:kern w:val="0"/>
          <w:sz w:val="31"/>
          <w:szCs w:val="31"/>
          <w:lang w:val="en-US" w:eastAsia="zh-CN" w:bidi="ar"/>
        </w:rPr>
        <w:t xml:space="preserve">阶段，组织对 </w:t>
      </w:r>
      <w:r>
        <w:rPr>
          <w:rFonts w:hint="eastAsia" w:ascii="仿宋_GB2312" w:hAnsi="仿宋_GB2312" w:eastAsia="仿宋_GB2312" w:cs="仿宋_GB2312"/>
          <w:color w:val="000000"/>
          <w:kern w:val="0"/>
          <w:sz w:val="31"/>
          <w:szCs w:val="31"/>
          <w:lang w:val="en-US" w:eastAsia="zh-CN" w:bidi="ar"/>
        </w:rPr>
        <w:t>购置服装、景区游客责任保险费、景区供水管道维修项目</w:t>
      </w:r>
      <w:r>
        <w:rPr>
          <w:rFonts w:ascii="仿宋_GB2312" w:hAnsi="仿宋_GB2312" w:eastAsia="仿宋_GB2312" w:cs="仿宋_GB2312"/>
          <w:color w:val="000000"/>
          <w:kern w:val="0"/>
          <w:sz w:val="31"/>
          <w:szCs w:val="31"/>
          <w:lang w:val="en-US" w:eastAsia="zh-CN" w:bidi="ar"/>
        </w:rPr>
        <w:t xml:space="preserve">等 </w:t>
      </w:r>
      <w:r>
        <w:rPr>
          <w:rFonts w:hint="eastAsia" w:ascii="仿宋_GB2312" w:hAnsi="仿宋_GB2312" w:eastAsia="仿宋_GB2312" w:cs="仿宋_GB2312"/>
          <w:color w:val="000000"/>
          <w:kern w:val="0"/>
          <w:sz w:val="31"/>
          <w:szCs w:val="31"/>
          <w:lang w:val="en-US" w:eastAsia="zh-CN" w:bidi="ar"/>
        </w:rPr>
        <w:t>32</w:t>
      </w:r>
      <w:r>
        <w:rPr>
          <w:rFonts w:ascii="仿宋_GB2312" w:hAnsi="仿宋_GB2312" w:eastAsia="仿宋_GB2312" w:cs="仿宋_GB2312"/>
          <w:color w:val="000000"/>
          <w:kern w:val="0"/>
          <w:sz w:val="31"/>
          <w:szCs w:val="31"/>
          <w:lang w:val="en-US" w:eastAsia="zh-CN" w:bidi="ar"/>
        </w:rPr>
        <w:t>个项目开展了预算事前绩效评估，对</w:t>
      </w:r>
      <w:r>
        <w:rPr>
          <w:rFonts w:hint="eastAsia" w:ascii="仿宋_GB2312" w:hAnsi="仿宋_GB2312" w:eastAsia="仿宋_GB2312" w:cs="仿宋_GB2312"/>
          <w:color w:val="000000"/>
          <w:kern w:val="0"/>
          <w:sz w:val="31"/>
          <w:szCs w:val="31"/>
          <w:lang w:val="en-US" w:eastAsia="zh-CN" w:bidi="ar"/>
        </w:rPr>
        <w:t>32</w:t>
      </w:r>
      <w:r>
        <w:rPr>
          <w:rFonts w:ascii="仿宋_GB2312" w:hAnsi="仿宋_GB2312" w:eastAsia="仿宋_GB2312" w:cs="仿宋_GB2312"/>
          <w:color w:val="000000"/>
          <w:kern w:val="0"/>
          <w:sz w:val="31"/>
          <w:szCs w:val="31"/>
          <w:lang w:val="en-US" w:eastAsia="zh-CN" w:bidi="ar"/>
        </w:rPr>
        <w:t>个项目编制了绩效目标，预算执行过程中，选取</w:t>
      </w:r>
      <w:r>
        <w:rPr>
          <w:rFonts w:hint="eastAsia" w:ascii="仿宋_GB2312" w:hAnsi="仿宋_GB2312" w:eastAsia="仿宋_GB2312" w:cs="仿宋_GB2312"/>
          <w:color w:val="000000"/>
          <w:kern w:val="0"/>
          <w:sz w:val="31"/>
          <w:szCs w:val="31"/>
          <w:lang w:val="en-US" w:eastAsia="zh-CN" w:bidi="ar"/>
        </w:rPr>
        <w:t>8</w:t>
      </w:r>
      <w:r>
        <w:rPr>
          <w:rFonts w:ascii="仿宋_GB2312" w:hAnsi="仿宋_GB2312" w:eastAsia="仿宋_GB2312" w:cs="仿宋_GB2312"/>
          <w:color w:val="000000"/>
          <w:kern w:val="0"/>
          <w:sz w:val="31"/>
          <w:szCs w:val="31"/>
          <w:lang w:val="en-US" w:eastAsia="zh-CN" w:bidi="ar"/>
        </w:rPr>
        <w:t>个项目开展绩效监控，年终执行完毕后，对</w:t>
      </w:r>
      <w:r>
        <w:rPr>
          <w:rFonts w:hint="eastAsia" w:ascii="仿宋_GB2312" w:hAnsi="仿宋_GB2312" w:eastAsia="仿宋_GB2312" w:cs="仿宋_GB2312"/>
          <w:color w:val="000000"/>
          <w:kern w:val="0"/>
          <w:sz w:val="31"/>
          <w:szCs w:val="31"/>
          <w:lang w:val="en-US" w:eastAsia="zh-CN" w:bidi="ar"/>
        </w:rPr>
        <w:t>7</w:t>
      </w:r>
      <w:r>
        <w:rPr>
          <w:rFonts w:ascii="仿宋_GB2312" w:hAnsi="仿宋_GB2312" w:eastAsia="仿宋_GB2312" w:cs="仿宋_GB2312"/>
          <w:color w:val="000000"/>
          <w:kern w:val="0"/>
          <w:sz w:val="31"/>
          <w:szCs w:val="31"/>
          <w:lang w:val="en-US" w:eastAsia="zh-CN" w:bidi="ar"/>
        </w:rPr>
        <w:t>个项目开展了绩效自评。同时，本部门对 2021年部门整体</w:t>
      </w:r>
      <w:r>
        <w:rPr>
          <w:rFonts w:hint="eastAsia" w:ascii="仿宋_GB2312" w:hAnsi="仿宋_GB2312" w:eastAsia="仿宋_GB2312" w:cs="仿宋_GB2312"/>
          <w:color w:val="000000"/>
          <w:kern w:val="0"/>
          <w:sz w:val="31"/>
          <w:szCs w:val="31"/>
          <w:lang w:val="en-US" w:eastAsia="zh-CN" w:bidi="ar"/>
        </w:rPr>
        <w:t>支出</w:t>
      </w:r>
      <w:r>
        <w:rPr>
          <w:rFonts w:ascii="仿宋_GB2312" w:hAnsi="仿宋_GB2312" w:eastAsia="仿宋_GB2312" w:cs="仿宋_GB2312"/>
          <w:color w:val="000000"/>
          <w:kern w:val="0"/>
          <w:sz w:val="31"/>
          <w:szCs w:val="31"/>
          <w:lang w:val="en-US" w:eastAsia="zh-CN" w:bidi="ar"/>
        </w:rPr>
        <w:t>开展绩效自评</w:t>
      </w:r>
      <w:r>
        <w:rPr>
          <w:rFonts w:hint="eastAsia"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2021年</w:t>
      </w:r>
      <w:r>
        <w:rPr>
          <w:rFonts w:hint="eastAsia" w:ascii="仿宋_GB2312" w:hAnsi="仿宋_GB2312" w:eastAsia="仿宋_GB2312" w:cs="仿宋_GB2312"/>
          <w:color w:val="000000"/>
          <w:kern w:val="0"/>
          <w:sz w:val="31"/>
          <w:szCs w:val="31"/>
          <w:lang w:val="en-US" w:eastAsia="zh-CN" w:bidi="ar"/>
        </w:rPr>
        <w:t>达古冰川管理局</w:t>
      </w:r>
      <w:r>
        <w:rPr>
          <w:rFonts w:ascii="仿宋_GB2312" w:hAnsi="仿宋_GB2312" w:eastAsia="仿宋_GB2312" w:cs="仿宋_GB2312"/>
          <w:color w:val="000000"/>
          <w:kern w:val="0"/>
          <w:sz w:val="31"/>
          <w:szCs w:val="31"/>
          <w:lang w:val="en-US" w:eastAsia="zh-CN" w:bidi="ar"/>
        </w:rPr>
        <w:t>整体绩效评价报告》见附件（第四部分）。</w:t>
      </w:r>
    </w:p>
    <w:p>
      <w:pPr>
        <w:keepNext w:val="0"/>
        <w:keepLines w:val="0"/>
        <w:pageBreakBefore w:val="0"/>
        <w:widowControl/>
        <w:suppressLineNumbers w:val="0"/>
        <w:kinsoku/>
        <w:wordWrap/>
        <w:overflowPunct/>
        <w:topLinePunct w:val="0"/>
        <w:bidi w:val="0"/>
        <w:spacing w:line="480" w:lineRule="exact"/>
        <w:jc w:val="left"/>
        <w:textAlignment w:val="auto"/>
        <w:rPr>
          <w:rFonts w:hint="eastAsia" w:ascii="黑体" w:hAnsi="宋体" w:eastAsia="黑体" w:cs="黑体"/>
          <w:color w:val="000000"/>
          <w:kern w:val="0"/>
          <w:sz w:val="43"/>
          <w:szCs w:val="43"/>
          <w:lang w:val="en-US" w:eastAsia="zh-CN" w:bidi="ar"/>
        </w:rPr>
      </w:pPr>
    </w:p>
    <w:p>
      <w:pPr>
        <w:keepNext w:val="0"/>
        <w:keepLines w:val="0"/>
        <w:pageBreakBefore w:val="0"/>
        <w:widowControl/>
        <w:suppressLineNumbers w:val="0"/>
        <w:kinsoku/>
        <w:wordWrap/>
        <w:overflowPunct/>
        <w:topLinePunct w:val="0"/>
        <w:bidi w:val="0"/>
        <w:spacing w:line="480" w:lineRule="exact"/>
        <w:jc w:val="center"/>
        <w:textAlignment w:val="auto"/>
        <w:rPr>
          <w:rFonts w:hint="eastAsia" w:ascii="黑体" w:hAnsi="宋体" w:eastAsia="黑体" w:cs="黑体"/>
          <w:color w:val="000000"/>
          <w:kern w:val="0"/>
          <w:sz w:val="43"/>
          <w:szCs w:val="43"/>
          <w:lang w:val="en-US" w:eastAsia="zh-CN" w:bidi="ar"/>
        </w:rPr>
      </w:pPr>
      <w:r>
        <w:rPr>
          <w:rFonts w:hint="eastAsia" w:ascii="黑体" w:hAnsi="宋体" w:eastAsia="黑体" w:cs="黑体"/>
          <w:color w:val="000000"/>
          <w:kern w:val="0"/>
          <w:sz w:val="43"/>
          <w:szCs w:val="43"/>
          <w:lang w:val="en-US" w:eastAsia="zh-CN" w:bidi="ar"/>
        </w:rPr>
        <w:t>第三部分 名词解释</w:t>
      </w:r>
    </w:p>
    <w:p>
      <w:pPr>
        <w:keepNext w:val="0"/>
        <w:keepLines w:val="0"/>
        <w:pageBreakBefore w:val="0"/>
        <w:widowControl/>
        <w:suppressLineNumbers w:val="0"/>
        <w:kinsoku/>
        <w:wordWrap/>
        <w:overflowPunct/>
        <w:topLinePunct w:val="0"/>
        <w:bidi w:val="0"/>
        <w:spacing w:line="480" w:lineRule="exact"/>
        <w:jc w:val="center"/>
        <w:textAlignment w:val="auto"/>
        <w:rPr>
          <w:rFonts w:hint="eastAsia" w:ascii="黑体" w:hAnsi="宋体" w:eastAsia="黑体" w:cs="黑体"/>
          <w:color w:val="000000"/>
          <w:kern w:val="0"/>
          <w:sz w:val="43"/>
          <w:szCs w:val="43"/>
          <w:lang w:val="en-US" w:eastAsia="zh-CN" w:bidi="ar"/>
        </w:rPr>
      </w:pP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11"/>
        <w:keepNext w:val="0"/>
        <w:keepLines w:val="0"/>
        <w:pageBreakBefore w:val="0"/>
        <w:kinsoku/>
        <w:wordWrap/>
        <w:overflowPunct/>
        <w:topLinePunct w:val="0"/>
        <w:bidi w:val="0"/>
        <w:spacing w:line="480" w:lineRule="exact"/>
        <w:ind w:firstLine="640" w:firstLineChars="200"/>
        <w:textAlignment w:val="auto"/>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pPr>
        <w:pStyle w:val="11"/>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9.</w:t>
      </w:r>
      <w:r>
        <w:rPr>
          <w:rFonts w:hint="eastAsia" w:ascii="仿宋" w:hAnsi="仿宋" w:eastAsia="仿宋" w:cs="仿宋"/>
          <w:color w:val="000000"/>
          <w:sz w:val="32"/>
          <w:szCs w:val="32"/>
          <w:lang w:eastAsia="zh-CN"/>
        </w:rPr>
        <w:t>机关事业单位基本养老保险缴费支出</w:t>
      </w:r>
      <w:r>
        <w:rPr>
          <w:rFonts w:hint="eastAsia" w:ascii="仿宋" w:hAnsi="仿宋" w:eastAsia="仿宋" w:cs="仿宋"/>
          <w:color w:val="000000"/>
          <w:sz w:val="32"/>
          <w:szCs w:val="32"/>
        </w:rPr>
        <w:t>：指</w:t>
      </w:r>
      <w:r>
        <w:rPr>
          <w:rFonts w:hint="eastAsia" w:ascii="仿宋" w:hAnsi="仿宋" w:eastAsia="仿宋" w:cs="仿宋"/>
          <w:color w:val="000000"/>
          <w:sz w:val="32"/>
          <w:szCs w:val="32"/>
          <w:lang w:eastAsia="zh-CN"/>
        </w:rPr>
        <w:t>机关事业单位实施养老保险制度由单位缴纳的基本养老保险费支出</w:t>
      </w:r>
      <w:r>
        <w:rPr>
          <w:rFonts w:hint="eastAsia" w:ascii="仿宋" w:hAnsi="仿宋" w:eastAsia="仿宋" w:cs="仿宋"/>
          <w:color w:val="000000"/>
          <w:sz w:val="32"/>
          <w:szCs w:val="32"/>
        </w:rPr>
        <w:t>。</w:t>
      </w:r>
    </w:p>
    <w:p>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w:t>
      </w:r>
      <w:r>
        <w:rPr>
          <w:rFonts w:hint="eastAsia" w:ascii="仿宋" w:hAnsi="仿宋" w:eastAsia="仿宋" w:cs="仿宋"/>
          <w:color w:val="000000"/>
          <w:sz w:val="32"/>
          <w:szCs w:val="32"/>
          <w:lang w:val="en-US" w:eastAsia="zh-CN"/>
        </w:rPr>
        <w:t>机关事业单位职业年金缴费支出：指机关事业单位实施养老保险制度由单位实际缴纳的职业年金支出。</w:t>
      </w:r>
    </w:p>
    <w:p>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11.</w:t>
      </w:r>
      <w:r>
        <w:rPr>
          <w:rFonts w:hint="eastAsia" w:ascii="仿宋" w:hAnsi="仿宋" w:eastAsia="仿宋" w:cs="仿宋"/>
          <w:color w:val="000000"/>
          <w:sz w:val="32"/>
          <w:szCs w:val="32"/>
          <w:lang w:val="en-US" w:eastAsia="zh-CN"/>
        </w:rPr>
        <w:t>住房公积金：指行政事业单位按人力资源和社会保障部、财政部规定的基本工资和津贴补贴以及规定比例为职工缴纳的住房公积金。</w:t>
      </w:r>
    </w:p>
    <w:p>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.基本支出：指为保障机构正常运转、完成日常工作任务而发生的人员支出和公用支出。</w:t>
      </w:r>
    </w:p>
    <w:p>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13</w:t>
      </w:r>
      <w:r>
        <w:rPr>
          <w:rFonts w:hint="eastAsia" w:ascii="仿宋" w:hAnsi="仿宋" w:eastAsia="仿宋" w:cs="仿宋"/>
          <w:color w:val="000000"/>
          <w:sz w:val="32"/>
          <w:szCs w:val="32"/>
        </w:rPr>
        <w:t xml:space="preserve">.项目支出：指在基本支出之外为完成特定行政任务和事业发展目标所发生的支出。 </w:t>
      </w:r>
    </w:p>
    <w:p>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14</w:t>
      </w:r>
      <w:r>
        <w:rPr>
          <w:rFonts w:hint="eastAsia" w:ascii="仿宋" w:hAnsi="仿宋" w:eastAsia="仿宋" w:cs="仿宋"/>
          <w:color w:val="000000"/>
          <w:sz w:val="32"/>
          <w:szCs w:val="32"/>
        </w:rPr>
        <w:t>.经营支出：指事业单位在专业业务活动及其辅助活动之外开展非独立核算经营活动发生的支出。</w:t>
      </w:r>
    </w:p>
    <w:p>
      <w:pPr>
        <w:pStyle w:val="11"/>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15</w:t>
      </w:r>
      <w:r>
        <w:rPr>
          <w:rFonts w:hint="eastAsia" w:ascii="仿宋" w:hAnsi="仿宋" w:eastAsia="仿宋" w:cs="仿宋"/>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11"/>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16</w:t>
      </w:r>
      <w:r>
        <w:rPr>
          <w:rFonts w:hint="eastAsia" w:ascii="仿宋" w:hAnsi="仿宋" w:eastAsia="仿宋" w:cs="仿宋"/>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en-US" w:eastAsia="zh-CN"/>
        </w:rPr>
        <w:t>17.</w:t>
      </w:r>
      <w:r>
        <w:rPr>
          <w:rStyle w:val="10"/>
          <w:rFonts w:hint="eastAsia" w:ascii="仿宋" w:hAnsi="仿宋" w:eastAsia="仿宋" w:cs="仿宋"/>
          <w:b w:val="0"/>
          <w:bCs w:val="0"/>
          <w:color w:val="000000"/>
          <w:sz w:val="32"/>
          <w:szCs w:val="32"/>
          <w:lang w:eastAsia="zh-CN"/>
        </w:rPr>
        <w:t>其他旅游业管理与服务支出</w:t>
      </w:r>
      <w:r>
        <w:rPr>
          <w:rStyle w:val="10"/>
          <w:rFonts w:hint="eastAsia" w:ascii="仿宋" w:hAnsi="仿宋" w:eastAsia="仿宋" w:cs="仿宋"/>
          <w:b w:val="0"/>
          <w:bCs w:val="0"/>
          <w:color w:val="000000"/>
          <w:sz w:val="32"/>
          <w:szCs w:val="32"/>
          <w:lang w:val="en-US" w:eastAsia="zh-CN"/>
        </w:rPr>
        <w:t>：指除上述项目以外其他用于旅游业管理与服务方面的支出。</w:t>
      </w:r>
      <w:r>
        <w:rPr>
          <w:rFonts w:hint="eastAsia" w:ascii="仿宋" w:hAnsi="仿宋" w:eastAsia="仿宋" w:cs="仿宋"/>
          <w:sz w:val="32"/>
          <w:szCs w:val="32"/>
          <w:shd w:val="clear" w:color="auto" w:fill="FFFFFF"/>
        </w:rPr>
        <w:t> </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p>
    <w:p>
      <w:pPr>
        <w:keepNext w:val="0"/>
        <w:keepLines w:val="0"/>
        <w:pageBreakBefore w:val="0"/>
        <w:numPr>
          <w:ilvl w:val="0"/>
          <w:numId w:val="3"/>
        </w:numPr>
        <w:kinsoku/>
        <w:wordWrap/>
        <w:overflowPunct/>
        <w:topLinePunct w:val="0"/>
        <w:bidi w:val="0"/>
        <w:spacing w:line="480" w:lineRule="exact"/>
        <w:jc w:val="center"/>
        <w:textAlignment w:val="auto"/>
        <w:outlineLvl w:val="0"/>
        <w:rPr>
          <w:rStyle w:val="12"/>
          <w:rFonts w:hint="eastAsia" w:ascii="黑体" w:hAnsi="黑体" w:eastAsia="黑体"/>
          <w:b w:val="0"/>
          <w:lang w:eastAsia="zh-CN"/>
        </w:rPr>
      </w:pPr>
      <w:r>
        <w:rPr>
          <w:rStyle w:val="12"/>
          <w:rFonts w:hint="eastAsia" w:ascii="黑体" w:hAnsi="黑体" w:eastAsia="黑体"/>
          <w:b w:val="0"/>
        </w:rPr>
        <w:t>附件</w:t>
      </w:r>
    </w:p>
    <w:p>
      <w:pPr>
        <w:keepNext w:val="0"/>
        <w:keepLines w:val="0"/>
        <w:pageBreakBefore w:val="0"/>
        <w:numPr>
          <w:ilvl w:val="0"/>
          <w:numId w:val="0"/>
        </w:numPr>
        <w:kinsoku/>
        <w:wordWrap/>
        <w:overflowPunct/>
        <w:topLinePunct w:val="0"/>
        <w:bidi w:val="0"/>
        <w:spacing w:line="480" w:lineRule="exact"/>
        <w:jc w:val="both"/>
        <w:textAlignment w:val="auto"/>
        <w:outlineLvl w:val="0"/>
        <w:rPr>
          <w:rStyle w:val="12"/>
          <w:rFonts w:hint="eastAsia" w:ascii="黑体" w:hAnsi="黑体" w:eastAsia="黑体"/>
          <w:b w:val="0"/>
          <w:sz w:val="32"/>
          <w:szCs w:val="32"/>
          <w:lang w:eastAsia="zh-CN"/>
        </w:rPr>
      </w:pPr>
    </w:p>
    <w:p>
      <w:pPr>
        <w:keepNext w:val="0"/>
        <w:keepLines w:val="0"/>
        <w:pageBreakBefore w:val="0"/>
        <w:numPr>
          <w:ilvl w:val="0"/>
          <w:numId w:val="0"/>
        </w:numPr>
        <w:kinsoku/>
        <w:wordWrap/>
        <w:overflowPunct/>
        <w:topLinePunct w:val="0"/>
        <w:bidi w:val="0"/>
        <w:spacing w:line="480" w:lineRule="exact"/>
        <w:jc w:val="both"/>
        <w:textAlignment w:val="auto"/>
        <w:outlineLvl w:val="0"/>
        <w:rPr>
          <w:rStyle w:val="12"/>
          <w:rFonts w:hint="default" w:ascii="黑体" w:hAnsi="黑体" w:eastAsia="黑体"/>
          <w:b w:val="0"/>
          <w:sz w:val="32"/>
          <w:szCs w:val="32"/>
          <w:lang w:val="en-US" w:eastAsia="zh-CN"/>
        </w:rPr>
      </w:pPr>
      <w:r>
        <w:rPr>
          <w:rStyle w:val="12"/>
          <w:rFonts w:hint="eastAsia" w:ascii="黑体" w:hAnsi="黑体" w:eastAsia="黑体"/>
          <w:b w:val="0"/>
          <w:sz w:val="32"/>
          <w:szCs w:val="32"/>
          <w:lang w:val="en-US" w:eastAsia="zh-CN"/>
        </w:rPr>
        <w:t>附加1</w:t>
      </w:r>
    </w:p>
    <w:p>
      <w:pPr>
        <w:keepNext w:val="0"/>
        <w:keepLines w:val="0"/>
        <w:pageBreakBefore w:val="0"/>
        <w:widowControl/>
        <w:kinsoku/>
        <w:wordWrap/>
        <w:overflowPunct/>
        <w:topLinePunct w:val="0"/>
        <w:bidi w:val="0"/>
        <w:spacing w:line="480" w:lineRule="exact"/>
        <w:ind w:firstLine="321" w:firstLineChars="100"/>
        <w:contextualSpacing/>
        <w:jc w:val="center"/>
        <w:textAlignment w:val="auto"/>
        <w:rPr>
          <w:rFonts w:hint="default" w:ascii="宋体" w:eastAsia="宋体"/>
          <w:b/>
          <w:sz w:val="32"/>
          <w:szCs w:val="32"/>
          <w:shd w:val="clear" w:color="auto" w:fill="FFFFFF"/>
          <w:lang w:val="en-US" w:eastAsia="zh-CN"/>
        </w:rPr>
      </w:pPr>
      <w:r>
        <w:rPr>
          <w:rFonts w:hint="eastAsia" w:ascii="宋体" w:eastAsia="宋体"/>
          <w:b/>
          <w:sz w:val="32"/>
          <w:szCs w:val="32"/>
          <w:shd w:val="clear" w:color="auto" w:fill="FFFFFF"/>
        </w:rPr>
        <w:t>20</w:t>
      </w:r>
      <w:r>
        <w:rPr>
          <w:rFonts w:hint="eastAsia" w:ascii="宋体" w:eastAsia="宋体"/>
          <w:b/>
          <w:sz w:val="32"/>
          <w:szCs w:val="32"/>
          <w:shd w:val="clear" w:color="auto" w:fill="FFFFFF"/>
          <w:lang w:val="en-US" w:eastAsia="zh-CN"/>
        </w:rPr>
        <w:t>21</w:t>
      </w:r>
      <w:r>
        <w:rPr>
          <w:rFonts w:hint="eastAsia" w:ascii="宋体" w:eastAsia="宋体"/>
          <w:b/>
          <w:sz w:val="32"/>
          <w:szCs w:val="32"/>
          <w:shd w:val="clear" w:color="auto" w:fill="FFFFFF"/>
        </w:rPr>
        <w:t>年</w:t>
      </w:r>
      <w:r>
        <w:rPr>
          <w:rFonts w:hint="eastAsia" w:ascii="宋体" w:eastAsia="宋体"/>
          <w:b/>
          <w:sz w:val="32"/>
          <w:szCs w:val="32"/>
          <w:shd w:val="clear" w:color="auto" w:fill="FFFFFF"/>
          <w:lang w:val="en-US" w:eastAsia="zh-CN"/>
        </w:rPr>
        <w:t>达古冰川管理局</w:t>
      </w:r>
    </w:p>
    <w:p>
      <w:pPr>
        <w:keepNext w:val="0"/>
        <w:keepLines w:val="0"/>
        <w:pageBreakBefore w:val="0"/>
        <w:widowControl/>
        <w:kinsoku/>
        <w:wordWrap/>
        <w:overflowPunct/>
        <w:topLinePunct w:val="0"/>
        <w:bidi w:val="0"/>
        <w:spacing w:line="480" w:lineRule="exact"/>
        <w:ind w:firstLine="321" w:firstLineChars="100"/>
        <w:contextualSpacing/>
        <w:jc w:val="center"/>
        <w:textAlignment w:val="auto"/>
        <w:rPr>
          <w:rFonts w:ascii="宋体" w:eastAsia="宋体"/>
          <w:b/>
          <w:sz w:val="32"/>
          <w:szCs w:val="32"/>
          <w:shd w:val="clear" w:color="auto" w:fill="FFFFFF"/>
        </w:rPr>
      </w:pPr>
      <w:r>
        <w:rPr>
          <w:rFonts w:hint="eastAsia" w:ascii="宋体" w:eastAsia="宋体"/>
          <w:b/>
          <w:sz w:val="32"/>
          <w:szCs w:val="32"/>
          <w:shd w:val="clear" w:color="auto" w:fill="FFFFFF"/>
        </w:rPr>
        <w:t>整体支出绩效评价报告</w:t>
      </w:r>
    </w:p>
    <w:p>
      <w:pPr>
        <w:keepNext w:val="0"/>
        <w:keepLines w:val="0"/>
        <w:pageBreakBefore w:val="0"/>
        <w:widowControl/>
        <w:kinsoku/>
        <w:wordWrap/>
        <w:overflowPunct/>
        <w:topLinePunct w:val="0"/>
        <w:bidi w:val="0"/>
        <w:adjustRightInd w:val="0"/>
        <w:snapToGrid w:val="0"/>
        <w:spacing w:line="480" w:lineRule="exact"/>
        <w:ind w:firstLine="640" w:firstLineChars="200"/>
        <w:contextualSpacing/>
        <w:jc w:val="left"/>
        <w:textAlignment w:val="auto"/>
        <w:rPr>
          <w:rFonts w:ascii="黑体" w:eastAsia="黑体" w:cs="宋体"/>
          <w:color w:val="000000"/>
          <w:kern w:val="0"/>
          <w:sz w:val="32"/>
          <w:szCs w:val="32"/>
          <w:shd w:val="clear" w:color="auto" w:fill="FFFFFF"/>
        </w:rPr>
      </w:pPr>
    </w:p>
    <w:p>
      <w:pPr>
        <w:keepNext w:val="0"/>
        <w:keepLines w:val="0"/>
        <w:pageBreakBefore w:val="0"/>
        <w:widowControl/>
        <w:kinsoku/>
        <w:wordWrap/>
        <w:overflowPunct/>
        <w:topLinePunct w:val="0"/>
        <w:bidi w:val="0"/>
        <w:adjustRightInd w:val="0"/>
        <w:snapToGrid w:val="0"/>
        <w:spacing w:line="480" w:lineRule="exact"/>
        <w:ind w:firstLine="640" w:firstLineChars="200"/>
        <w:contextualSpacing/>
        <w:jc w:val="left"/>
        <w:textAlignment w:val="auto"/>
        <w:rPr>
          <w:rFonts w:ascii="黑体" w:eastAsia="黑体" w:cs="宋体"/>
          <w:color w:val="000000"/>
          <w:kern w:val="0"/>
          <w:sz w:val="32"/>
          <w:szCs w:val="32"/>
          <w:shd w:val="clear" w:color="auto" w:fill="FFFFFF"/>
          <w:lang w:val="zh-CN"/>
        </w:rPr>
      </w:pPr>
      <w:r>
        <w:rPr>
          <w:rFonts w:hint="eastAsia" w:ascii="黑体" w:eastAsia="黑体" w:cs="宋体"/>
          <w:color w:val="000000"/>
          <w:kern w:val="0"/>
          <w:sz w:val="32"/>
          <w:szCs w:val="32"/>
          <w:shd w:val="clear" w:color="auto" w:fill="FFFFFF"/>
        </w:rPr>
        <w:t>一、</w:t>
      </w:r>
      <w:r>
        <w:rPr>
          <w:rFonts w:hint="eastAsia" w:ascii="黑体" w:eastAsia="黑体" w:cs="宋体"/>
          <w:color w:val="000000"/>
          <w:kern w:val="0"/>
          <w:sz w:val="32"/>
          <w:szCs w:val="32"/>
          <w:shd w:val="clear" w:color="auto" w:fill="FFFFFF"/>
          <w:lang w:val="zh-CN"/>
        </w:rPr>
        <w:t>部门（单位）概况</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（一）机构组成</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zh-CN" w:eastAsia="zh-CN"/>
        </w:rPr>
        <w:t>根据阿编办（2019）36号文件，我局为州政府直属事业单位，核定事业编制86名，内设机构16个，无下属二级单位。</w:t>
      </w:r>
    </w:p>
    <w:p>
      <w:pPr>
        <w:keepNext w:val="0"/>
        <w:keepLines w:val="0"/>
        <w:pageBreakBefore w:val="0"/>
        <w:widowControl/>
        <w:numPr>
          <w:ilvl w:val="0"/>
          <w:numId w:val="4"/>
        </w:numPr>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机构职能</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zh-CN" w:eastAsia="zh-CN"/>
        </w:rPr>
        <w:t>达古冰川管理局与四川三达古自然保护区管理局执行两块牌子一套人马的管理制度。主要职责是景区内632平方公里森林资源管护、野生动植物保护，旅游建设与开发等职责。</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（三）人员概况</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zh-CN" w:eastAsia="zh-CN"/>
        </w:rPr>
        <w:t>根据阿编办（2019）36号文件核定编制86名，设管理岗位42个，专业技术岗位25个，工勤技能岗位19个。长期临时人员20名，季节性临时用工60名。2021年底实有在编人员77人（其中有两名属管理与专业技术双肩挑人员），管理人员40名、专业技术人员18名、工勤人员19名；长期临时人员19名，季节性临时用工60名。</w:t>
      </w:r>
    </w:p>
    <w:p>
      <w:pPr>
        <w:keepNext w:val="0"/>
        <w:keepLines w:val="0"/>
        <w:pageBreakBefore w:val="0"/>
        <w:widowControl/>
        <w:kinsoku/>
        <w:wordWrap/>
        <w:overflowPunct/>
        <w:topLinePunct w:val="0"/>
        <w:bidi w:val="0"/>
        <w:adjustRightInd w:val="0"/>
        <w:snapToGrid w:val="0"/>
        <w:spacing w:line="480" w:lineRule="exact"/>
        <w:ind w:firstLine="640" w:firstLineChars="200"/>
        <w:contextualSpacing/>
        <w:jc w:val="left"/>
        <w:textAlignment w:val="auto"/>
        <w:rPr>
          <w:rFonts w:ascii="黑体" w:eastAsia="黑体" w:cs="宋体"/>
          <w:color w:val="000000"/>
          <w:kern w:val="0"/>
          <w:sz w:val="32"/>
          <w:szCs w:val="32"/>
          <w:shd w:val="clear" w:color="auto" w:fill="FFFFFF"/>
        </w:rPr>
      </w:pPr>
      <w:r>
        <w:rPr>
          <w:rFonts w:hint="eastAsia" w:ascii="黑体" w:eastAsia="黑体" w:cs="宋体"/>
          <w:color w:val="000000"/>
          <w:kern w:val="0"/>
          <w:sz w:val="32"/>
          <w:szCs w:val="32"/>
          <w:shd w:val="clear" w:color="auto" w:fill="FFFFFF"/>
        </w:rPr>
        <w:t>二、部门财政资金收支情况</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（一）部门财政资金收入情况</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en-US" w:eastAsia="zh-CN"/>
        </w:rPr>
      </w:pPr>
      <w:r>
        <w:rPr>
          <w:rStyle w:val="10"/>
          <w:rFonts w:hint="eastAsia" w:ascii="仿宋" w:hAnsi="仿宋" w:eastAsia="仿宋" w:cs="仿宋"/>
          <w:b w:val="0"/>
          <w:bCs w:val="0"/>
          <w:color w:val="000000"/>
          <w:sz w:val="32"/>
          <w:szCs w:val="32"/>
          <w:lang w:val="en-US" w:eastAsia="zh-CN"/>
        </w:rPr>
        <w:t>1.部门预算收入资金来源情况：2021年本单位部门预算总收入3829.43万元。</w:t>
      </w:r>
      <w:r>
        <w:rPr>
          <w:rStyle w:val="10"/>
          <w:rFonts w:hint="eastAsia" w:ascii="仿宋" w:hAnsi="仿宋" w:eastAsia="仿宋" w:cs="仿宋"/>
          <w:b w:val="0"/>
          <w:bCs w:val="0"/>
          <w:color w:val="000000"/>
          <w:sz w:val="32"/>
          <w:szCs w:val="32"/>
          <w:lang w:val="zh-CN" w:eastAsia="zh-CN"/>
        </w:rPr>
        <w:t>其中：年初结转和结余数</w:t>
      </w:r>
      <w:r>
        <w:rPr>
          <w:rStyle w:val="10"/>
          <w:rFonts w:hint="eastAsia" w:ascii="仿宋" w:hAnsi="仿宋" w:eastAsia="仿宋" w:cs="仿宋"/>
          <w:b w:val="0"/>
          <w:bCs w:val="0"/>
          <w:color w:val="000000"/>
          <w:sz w:val="32"/>
          <w:szCs w:val="32"/>
          <w:lang w:val="en-US" w:eastAsia="zh-CN"/>
        </w:rPr>
        <w:t>363.38万</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占总收入的9.49%；</w:t>
      </w:r>
      <w:r>
        <w:rPr>
          <w:rStyle w:val="10"/>
          <w:rFonts w:hint="eastAsia" w:ascii="仿宋" w:hAnsi="仿宋" w:eastAsia="仿宋" w:cs="仿宋"/>
          <w:b w:val="0"/>
          <w:bCs w:val="0"/>
          <w:color w:val="000000"/>
          <w:sz w:val="32"/>
          <w:szCs w:val="32"/>
          <w:lang w:val="zh-CN" w:eastAsia="zh-CN"/>
        </w:rPr>
        <w:t>本年预算安排</w:t>
      </w:r>
      <w:r>
        <w:rPr>
          <w:rStyle w:val="10"/>
          <w:rFonts w:hint="eastAsia" w:ascii="仿宋" w:hAnsi="仿宋" w:eastAsia="仿宋" w:cs="仿宋"/>
          <w:b w:val="0"/>
          <w:bCs w:val="0"/>
          <w:color w:val="000000"/>
          <w:sz w:val="32"/>
          <w:szCs w:val="32"/>
          <w:lang w:val="en-US" w:eastAsia="zh-CN"/>
        </w:rPr>
        <w:t>3466.05</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占总收入的90.51%</w:t>
      </w:r>
      <w:r>
        <w:rPr>
          <w:rStyle w:val="10"/>
          <w:rFonts w:hint="eastAsia" w:ascii="仿宋" w:hAnsi="仿宋" w:eastAsia="仿宋" w:cs="仿宋"/>
          <w:b w:val="0"/>
          <w:bCs w:val="0"/>
          <w:color w:val="000000"/>
          <w:sz w:val="32"/>
          <w:szCs w:val="32"/>
          <w:lang w:val="zh-CN" w:eastAsia="zh-CN"/>
        </w:rPr>
        <w:t>。本年预算与20</w:t>
      </w:r>
      <w:r>
        <w:rPr>
          <w:rStyle w:val="10"/>
          <w:rFonts w:hint="eastAsia" w:ascii="仿宋" w:hAnsi="仿宋" w:eastAsia="仿宋" w:cs="仿宋"/>
          <w:b w:val="0"/>
          <w:bCs w:val="0"/>
          <w:color w:val="000000"/>
          <w:sz w:val="32"/>
          <w:szCs w:val="32"/>
          <w:lang w:val="en-US" w:eastAsia="zh-CN"/>
        </w:rPr>
        <w:t>20</w:t>
      </w:r>
      <w:r>
        <w:rPr>
          <w:rStyle w:val="10"/>
          <w:rFonts w:hint="eastAsia" w:ascii="仿宋" w:hAnsi="仿宋" w:eastAsia="仿宋" w:cs="仿宋"/>
          <w:b w:val="0"/>
          <w:bCs w:val="0"/>
          <w:color w:val="000000"/>
          <w:sz w:val="32"/>
          <w:szCs w:val="32"/>
          <w:lang w:val="zh-CN" w:eastAsia="zh-CN"/>
        </w:rPr>
        <w:t>年相比</w:t>
      </w:r>
      <w:r>
        <w:rPr>
          <w:rStyle w:val="10"/>
          <w:rFonts w:hint="eastAsia" w:ascii="仿宋" w:hAnsi="仿宋" w:eastAsia="仿宋" w:cs="仿宋"/>
          <w:b w:val="0"/>
          <w:bCs w:val="0"/>
          <w:color w:val="000000"/>
          <w:sz w:val="32"/>
          <w:szCs w:val="32"/>
          <w:lang w:val="en-US" w:eastAsia="zh-CN"/>
        </w:rPr>
        <w:t>增加303.03万元</w:t>
      </w:r>
      <w:r>
        <w:rPr>
          <w:rStyle w:val="10"/>
          <w:rFonts w:hint="eastAsia" w:ascii="仿宋" w:hAnsi="仿宋" w:eastAsia="仿宋" w:cs="仿宋"/>
          <w:b w:val="0"/>
          <w:bCs w:val="0"/>
          <w:color w:val="000000"/>
          <w:sz w:val="32"/>
          <w:szCs w:val="32"/>
          <w:lang w:val="zh-CN" w:eastAsia="zh-CN"/>
        </w:rPr>
        <w:t>，</w:t>
      </w:r>
      <w:r>
        <w:rPr>
          <w:rStyle w:val="10"/>
          <w:rFonts w:hint="eastAsia" w:ascii="仿宋" w:hAnsi="仿宋" w:eastAsia="仿宋" w:cs="仿宋"/>
          <w:b w:val="0"/>
          <w:bCs w:val="0"/>
          <w:color w:val="000000"/>
          <w:sz w:val="32"/>
          <w:szCs w:val="32"/>
          <w:lang w:val="en-US" w:eastAsia="zh-CN"/>
        </w:rPr>
        <w:t>增加9.6</w:t>
      </w:r>
      <w:r>
        <w:rPr>
          <w:rStyle w:val="10"/>
          <w:rFonts w:hint="eastAsia" w:ascii="仿宋" w:hAnsi="仿宋" w:eastAsia="仿宋" w:cs="仿宋"/>
          <w:b w:val="0"/>
          <w:bCs w:val="0"/>
          <w:color w:val="000000"/>
          <w:sz w:val="32"/>
          <w:szCs w:val="32"/>
          <w:lang w:val="zh-CN" w:eastAsia="zh-CN"/>
        </w:rPr>
        <w:t>%。</w:t>
      </w:r>
      <w:r>
        <w:rPr>
          <w:rStyle w:val="10"/>
          <w:rFonts w:hint="eastAsia" w:ascii="仿宋" w:hAnsi="仿宋" w:eastAsia="仿宋" w:cs="仿宋"/>
          <w:b w:val="0"/>
          <w:bCs w:val="0"/>
          <w:color w:val="000000"/>
          <w:sz w:val="32"/>
          <w:szCs w:val="32"/>
          <w:lang w:val="en-US" w:eastAsia="zh-CN"/>
        </w:rPr>
        <w:t>增加的原因：增加了职工目标管理绩效奖和新增30名季节性临时用工。</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en-US" w:eastAsia="zh-CN"/>
        </w:rPr>
      </w:pPr>
      <w:r>
        <w:rPr>
          <w:rStyle w:val="10"/>
          <w:rFonts w:hint="eastAsia" w:ascii="仿宋" w:hAnsi="仿宋" w:eastAsia="仿宋" w:cs="仿宋"/>
          <w:b w:val="0"/>
          <w:bCs w:val="0"/>
          <w:color w:val="000000"/>
          <w:sz w:val="32"/>
          <w:szCs w:val="32"/>
          <w:lang w:val="en-US" w:eastAsia="zh-CN"/>
        </w:rPr>
        <w:t>2.部门预算收入经济科目分类情况：2021年本单位部门预算总收入3829.43万元。其中：人员经费1743.46元，占总收入的45.53%；日常公用经费1477.59元，占总收入的38.58%；项目经费608.38元，占总收入的15.89%。</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en-US" w:eastAsia="zh-CN"/>
        </w:rPr>
        <w:t>3.部门预算收入功能科目分类情况：2021年本单位部门预算总收入3829.43万元。</w:t>
      </w:r>
      <w:r>
        <w:rPr>
          <w:rStyle w:val="10"/>
          <w:rFonts w:hint="eastAsia" w:ascii="仿宋" w:hAnsi="仿宋" w:eastAsia="仿宋" w:cs="仿宋"/>
          <w:b w:val="0"/>
          <w:bCs w:val="0"/>
          <w:color w:val="000000"/>
          <w:sz w:val="32"/>
          <w:szCs w:val="32"/>
          <w:lang w:val="zh-CN" w:eastAsia="zh-CN"/>
        </w:rPr>
        <w:t>其中：文化旅游体育与传媒（类）支出</w:t>
      </w:r>
      <w:r>
        <w:rPr>
          <w:rStyle w:val="10"/>
          <w:rFonts w:hint="eastAsia" w:ascii="仿宋" w:hAnsi="仿宋" w:eastAsia="仿宋" w:cs="仿宋"/>
          <w:b w:val="0"/>
          <w:bCs w:val="0"/>
          <w:color w:val="000000"/>
          <w:sz w:val="32"/>
          <w:szCs w:val="32"/>
          <w:lang w:val="en-US" w:eastAsia="zh-CN"/>
        </w:rPr>
        <w:t>3395.61万</w:t>
      </w:r>
      <w:r>
        <w:rPr>
          <w:rStyle w:val="10"/>
          <w:rFonts w:hint="eastAsia" w:ascii="仿宋" w:hAnsi="仿宋" w:eastAsia="仿宋" w:cs="仿宋"/>
          <w:b w:val="0"/>
          <w:bCs w:val="0"/>
          <w:color w:val="000000"/>
          <w:sz w:val="32"/>
          <w:szCs w:val="32"/>
          <w:lang w:val="zh-CN" w:eastAsia="zh-CN"/>
        </w:rPr>
        <w:t>元，占</w:t>
      </w:r>
      <w:r>
        <w:rPr>
          <w:rStyle w:val="10"/>
          <w:rFonts w:hint="eastAsia" w:ascii="仿宋" w:hAnsi="仿宋" w:eastAsia="仿宋" w:cs="仿宋"/>
          <w:b w:val="0"/>
          <w:bCs w:val="0"/>
          <w:color w:val="000000"/>
          <w:sz w:val="32"/>
          <w:szCs w:val="32"/>
          <w:lang w:val="en-US" w:eastAsia="zh-CN"/>
        </w:rPr>
        <w:t>88.67</w:t>
      </w:r>
      <w:r>
        <w:rPr>
          <w:rStyle w:val="10"/>
          <w:rFonts w:hint="eastAsia" w:ascii="仿宋" w:hAnsi="仿宋" w:eastAsia="仿宋" w:cs="仿宋"/>
          <w:b w:val="0"/>
          <w:bCs w:val="0"/>
          <w:color w:val="000000"/>
          <w:sz w:val="32"/>
          <w:szCs w:val="32"/>
          <w:lang w:val="zh-CN" w:eastAsia="zh-CN"/>
        </w:rPr>
        <w:t>%；社会保障和就业（类）支出</w:t>
      </w:r>
      <w:r>
        <w:rPr>
          <w:rStyle w:val="10"/>
          <w:rFonts w:hint="eastAsia" w:ascii="仿宋" w:hAnsi="仿宋" w:eastAsia="仿宋" w:cs="仿宋"/>
          <w:b w:val="0"/>
          <w:bCs w:val="0"/>
          <w:color w:val="000000"/>
          <w:sz w:val="32"/>
          <w:szCs w:val="32"/>
          <w:lang w:val="en-US" w:eastAsia="zh-CN"/>
        </w:rPr>
        <w:t>201.60万</w:t>
      </w:r>
      <w:r>
        <w:rPr>
          <w:rStyle w:val="10"/>
          <w:rFonts w:hint="eastAsia" w:ascii="仿宋" w:hAnsi="仿宋" w:eastAsia="仿宋" w:cs="仿宋"/>
          <w:b w:val="0"/>
          <w:bCs w:val="0"/>
          <w:color w:val="000000"/>
          <w:sz w:val="32"/>
          <w:szCs w:val="32"/>
          <w:lang w:val="zh-CN" w:eastAsia="zh-CN"/>
        </w:rPr>
        <w:t>元，占</w:t>
      </w:r>
      <w:r>
        <w:rPr>
          <w:rStyle w:val="10"/>
          <w:rFonts w:hint="eastAsia" w:ascii="仿宋" w:hAnsi="仿宋" w:eastAsia="仿宋" w:cs="仿宋"/>
          <w:b w:val="0"/>
          <w:bCs w:val="0"/>
          <w:color w:val="000000"/>
          <w:sz w:val="32"/>
          <w:szCs w:val="32"/>
          <w:lang w:val="en-US" w:eastAsia="zh-CN"/>
        </w:rPr>
        <w:t>5.26</w:t>
      </w:r>
      <w:r>
        <w:rPr>
          <w:rStyle w:val="10"/>
          <w:rFonts w:hint="eastAsia" w:ascii="仿宋" w:hAnsi="仿宋" w:eastAsia="仿宋" w:cs="仿宋"/>
          <w:b w:val="0"/>
          <w:bCs w:val="0"/>
          <w:color w:val="000000"/>
          <w:sz w:val="32"/>
          <w:szCs w:val="32"/>
          <w:lang w:val="zh-CN" w:eastAsia="zh-CN"/>
        </w:rPr>
        <w:t>%；卫生健康（类）支出</w:t>
      </w:r>
      <w:r>
        <w:rPr>
          <w:rStyle w:val="10"/>
          <w:rFonts w:hint="eastAsia" w:ascii="仿宋" w:hAnsi="仿宋" w:eastAsia="仿宋" w:cs="仿宋"/>
          <w:b w:val="0"/>
          <w:bCs w:val="0"/>
          <w:color w:val="000000"/>
          <w:sz w:val="32"/>
          <w:szCs w:val="32"/>
          <w:lang w:val="en-US" w:eastAsia="zh-CN"/>
        </w:rPr>
        <w:t>75.77万</w:t>
      </w:r>
      <w:r>
        <w:rPr>
          <w:rStyle w:val="10"/>
          <w:rFonts w:hint="eastAsia" w:ascii="仿宋" w:hAnsi="仿宋" w:eastAsia="仿宋" w:cs="仿宋"/>
          <w:b w:val="0"/>
          <w:bCs w:val="0"/>
          <w:color w:val="000000"/>
          <w:sz w:val="32"/>
          <w:szCs w:val="32"/>
          <w:lang w:val="zh-CN" w:eastAsia="zh-CN"/>
        </w:rPr>
        <w:t>元，占</w:t>
      </w:r>
      <w:r>
        <w:rPr>
          <w:rStyle w:val="10"/>
          <w:rFonts w:hint="eastAsia" w:ascii="仿宋" w:hAnsi="仿宋" w:eastAsia="仿宋" w:cs="仿宋"/>
          <w:b w:val="0"/>
          <w:bCs w:val="0"/>
          <w:color w:val="000000"/>
          <w:sz w:val="32"/>
          <w:szCs w:val="32"/>
          <w:lang w:val="en-US" w:eastAsia="zh-CN"/>
        </w:rPr>
        <w:t>2</w:t>
      </w:r>
      <w:r>
        <w:rPr>
          <w:rStyle w:val="10"/>
          <w:rFonts w:hint="eastAsia" w:ascii="仿宋" w:hAnsi="仿宋" w:eastAsia="仿宋" w:cs="仿宋"/>
          <w:b w:val="0"/>
          <w:bCs w:val="0"/>
          <w:color w:val="000000"/>
          <w:sz w:val="32"/>
          <w:szCs w:val="32"/>
          <w:lang w:val="zh-CN" w:eastAsia="zh-CN"/>
        </w:rPr>
        <w:t>%；住房保障（类）支出</w:t>
      </w:r>
      <w:r>
        <w:rPr>
          <w:rStyle w:val="10"/>
          <w:rFonts w:hint="eastAsia" w:ascii="仿宋" w:hAnsi="仿宋" w:eastAsia="仿宋" w:cs="仿宋"/>
          <w:b w:val="0"/>
          <w:bCs w:val="0"/>
          <w:color w:val="000000"/>
          <w:sz w:val="32"/>
          <w:szCs w:val="32"/>
          <w:lang w:val="en-US" w:eastAsia="zh-CN"/>
        </w:rPr>
        <w:t>141.45万</w:t>
      </w:r>
      <w:r>
        <w:rPr>
          <w:rStyle w:val="10"/>
          <w:rFonts w:hint="eastAsia" w:ascii="仿宋" w:hAnsi="仿宋" w:eastAsia="仿宋" w:cs="仿宋"/>
          <w:b w:val="0"/>
          <w:bCs w:val="0"/>
          <w:color w:val="000000"/>
          <w:sz w:val="32"/>
          <w:szCs w:val="32"/>
          <w:lang w:val="zh-CN" w:eastAsia="zh-CN"/>
        </w:rPr>
        <w:t>元，占</w:t>
      </w:r>
      <w:r>
        <w:rPr>
          <w:rStyle w:val="10"/>
          <w:rFonts w:hint="eastAsia" w:ascii="仿宋" w:hAnsi="仿宋" w:eastAsia="仿宋" w:cs="仿宋"/>
          <w:b w:val="0"/>
          <w:bCs w:val="0"/>
          <w:color w:val="000000"/>
          <w:sz w:val="32"/>
          <w:szCs w:val="32"/>
          <w:lang w:val="en-US" w:eastAsia="zh-CN"/>
        </w:rPr>
        <w:t>3.69</w:t>
      </w:r>
      <w:r>
        <w:rPr>
          <w:rStyle w:val="10"/>
          <w:rFonts w:hint="eastAsia" w:ascii="仿宋" w:hAnsi="仿宋" w:eastAsia="仿宋" w:cs="仿宋"/>
          <w:b w:val="0"/>
          <w:bCs w:val="0"/>
          <w:color w:val="000000"/>
          <w:sz w:val="32"/>
          <w:szCs w:val="32"/>
          <w:lang w:val="zh-CN" w:eastAsia="zh-CN"/>
        </w:rPr>
        <w:t>%；</w:t>
      </w:r>
      <w:r>
        <w:rPr>
          <w:rStyle w:val="10"/>
          <w:rFonts w:hint="eastAsia" w:ascii="仿宋" w:hAnsi="仿宋" w:eastAsia="仿宋" w:cs="仿宋"/>
          <w:b w:val="0"/>
          <w:bCs w:val="0"/>
          <w:color w:val="000000"/>
          <w:sz w:val="32"/>
          <w:szCs w:val="32"/>
          <w:lang w:val="en-US" w:eastAsia="zh-CN"/>
        </w:rPr>
        <w:t>农林水支出（类）15万元</w:t>
      </w:r>
      <w:r>
        <w:rPr>
          <w:rStyle w:val="10"/>
          <w:rFonts w:hint="eastAsia" w:ascii="仿宋" w:hAnsi="仿宋" w:eastAsia="仿宋" w:cs="仿宋"/>
          <w:b w:val="0"/>
          <w:bCs w:val="0"/>
          <w:color w:val="000000"/>
          <w:sz w:val="32"/>
          <w:szCs w:val="32"/>
          <w:lang w:val="zh-CN" w:eastAsia="zh-CN"/>
        </w:rPr>
        <w:t>，占</w:t>
      </w:r>
      <w:r>
        <w:rPr>
          <w:rStyle w:val="10"/>
          <w:rFonts w:hint="eastAsia" w:ascii="仿宋" w:hAnsi="仿宋" w:eastAsia="仿宋" w:cs="仿宋"/>
          <w:b w:val="0"/>
          <w:bCs w:val="0"/>
          <w:color w:val="000000"/>
          <w:sz w:val="32"/>
          <w:szCs w:val="32"/>
          <w:lang w:val="en-US" w:eastAsia="zh-CN"/>
        </w:rPr>
        <w:t>0.38</w:t>
      </w:r>
      <w:r>
        <w:rPr>
          <w:rStyle w:val="10"/>
          <w:rFonts w:hint="eastAsia" w:ascii="仿宋" w:hAnsi="仿宋" w:eastAsia="仿宋" w:cs="仿宋"/>
          <w:b w:val="0"/>
          <w:bCs w:val="0"/>
          <w:color w:val="000000"/>
          <w:sz w:val="32"/>
          <w:szCs w:val="32"/>
          <w:lang w:val="zh-CN" w:eastAsia="zh-CN"/>
        </w:rPr>
        <w:t>%。</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（二）部门财政资金支出情况</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3" w:firstLineChars="200"/>
        <w:textAlignment w:val="auto"/>
        <w:rPr>
          <w:rFonts w:hint="eastAsia" w:ascii="仿宋" w:hAnsi="仿宋" w:eastAsia="仿宋" w:cs="仿宋"/>
          <w:b/>
          <w:bCs/>
          <w:color w:val="auto"/>
          <w:sz w:val="32"/>
          <w:szCs w:val="32"/>
          <w:shd w:val="solid" w:color="FFFFFF" w:fill="FFFFFF"/>
          <w:lang w:val="en-US" w:eastAsia="zh-CN" w:bidi="ar-SA"/>
        </w:rPr>
      </w:pPr>
      <w:r>
        <w:rPr>
          <w:rFonts w:hint="eastAsia" w:ascii="仿宋" w:hAnsi="仿宋" w:eastAsia="仿宋" w:cs="仿宋"/>
          <w:b/>
          <w:bCs/>
          <w:color w:val="auto"/>
          <w:sz w:val="32"/>
          <w:szCs w:val="32"/>
          <w:shd w:val="solid" w:color="FFFFFF" w:fill="FFFFFF"/>
          <w:lang w:val="en-US" w:eastAsia="zh-CN" w:bidi="ar-SA"/>
        </w:rPr>
        <w:t>1.总体支出情况</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b w:val="0"/>
          <w:bCs w:val="0"/>
          <w:color w:val="auto"/>
          <w:sz w:val="32"/>
          <w:szCs w:val="32"/>
          <w:shd w:val="solid" w:color="FFFFFF" w:fill="FFFFFF"/>
          <w:lang w:val="en-US" w:bidi="ar-SA"/>
        </w:rPr>
      </w:pPr>
      <w:r>
        <w:rPr>
          <w:rFonts w:hint="eastAsia" w:ascii="仿宋" w:hAnsi="仿宋" w:eastAsia="仿宋" w:cs="仿宋"/>
          <w:color w:val="auto"/>
          <w:sz w:val="32"/>
          <w:szCs w:val="32"/>
          <w:shd w:val="solid" w:color="FFFFFF" w:fill="FFFFFF"/>
          <w:lang w:bidi="ar-SA"/>
        </w:rPr>
        <w:t>202</w:t>
      </w:r>
      <w:r>
        <w:rPr>
          <w:rFonts w:hint="eastAsia" w:ascii="仿宋" w:hAnsi="仿宋" w:eastAsia="仿宋" w:cs="仿宋"/>
          <w:color w:val="auto"/>
          <w:sz w:val="32"/>
          <w:szCs w:val="32"/>
          <w:shd w:val="solid" w:color="FFFFFF" w:fill="FFFFFF"/>
          <w:lang w:val="en-US" w:eastAsia="zh-CN" w:bidi="ar-SA"/>
        </w:rPr>
        <w:t>1</w:t>
      </w:r>
      <w:r>
        <w:rPr>
          <w:rFonts w:hint="eastAsia" w:ascii="仿宋" w:hAnsi="仿宋" w:eastAsia="仿宋" w:cs="仿宋"/>
          <w:color w:val="auto"/>
          <w:sz w:val="32"/>
          <w:szCs w:val="32"/>
          <w:shd w:val="solid" w:color="FFFFFF" w:fill="FFFFFF"/>
          <w:lang w:bidi="ar-SA"/>
        </w:rPr>
        <w:t>年</w:t>
      </w:r>
      <w:r>
        <w:rPr>
          <w:rFonts w:hint="eastAsia" w:ascii="仿宋" w:hAnsi="仿宋" w:eastAsia="仿宋" w:cs="仿宋"/>
          <w:color w:val="auto"/>
          <w:sz w:val="32"/>
          <w:szCs w:val="32"/>
          <w:shd w:val="solid" w:color="FFFFFF" w:fill="FFFFFF"/>
          <w:lang w:eastAsia="zh-CN" w:bidi="ar-SA"/>
        </w:rPr>
        <w:t>本单位</w:t>
      </w:r>
      <w:r>
        <w:rPr>
          <w:rFonts w:hint="eastAsia" w:ascii="仿宋" w:hAnsi="仿宋" w:eastAsia="仿宋" w:cs="仿宋"/>
          <w:color w:val="auto"/>
          <w:sz w:val="32"/>
          <w:szCs w:val="32"/>
          <w:shd w:val="solid" w:color="FFFFFF" w:fill="FFFFFF"/>
          <w:lang w:bidi="ar-SA"/>
        </w:rPr>
        <w:t>部门</w:t>
      </w:r>
      <w:r>
        <w:rPr>
          <w:rFonts w:hint="eastAsia" w:ascii="仿宋" w:hAnsi="仿宋" w:eastAsia="仿宋" w:cs="仿宋"/>
          <w:color w:val="auto"/>
          <w:sz w:val="32"/>
          <w:szCs w:val="32"/>
          <w:shd w:val="solid" w:color="FFFFFF" w:fill="FFFFFF"/>
          <w:lang w:eastAsia="zh-CN" w:bidi="ar-SA"/>
        </w:rPr>
        <w:t>预算</w:t>
      </w:r>
      <w:r>
        <w:rPr>
          <w:rFonts w:hint="eastAsia" w:ascii="仿宋" w:hAnsi="仿宋" w:eastAsia="仿宋" w:cs="仿宋"/>
          <w:color w:val="auto"/>
          <w:sz w:val="32"/>
          <w:szCs w:val="32"/>
          <w:shd w:val="solid" w:color="FFFFFF" w:fill="FFFFFF"/>
          <w:lang w:bidi="ar-SA"/>
        </w:rPr>
        <w:t>支出总计</w:t>
      </w:r>
      <w:r>
        <w:rPr>
          <w:rFonts w:hint="eastAsia" w:ascii="仿宋" w:hAnsi="仿宋" w:eastAsia="仿宋" w:cs="仿宋"/>
          <w:color w:val="auto"/>
          <w:kern w:val="2"/>
          <w:sz w:val="32"/>
          <w:szCs w:val="32"/>
          <w:lang w:val="en-US" w:eastAsia="zh-CN" w:bidi="ar-SA"/>
        </w:rPr>
        <w:t>3552.78万元</w:t>
      </w:r>
      <w:r>
        <w:rPr>
          <w:rFonts w:hint="eastAsia" w:ascii="仿宋" w:hAnsi="仿宋" w:eastAsia="仿宋" w:cs="仿宋"/>
          <w:color w:val="auto"/>
          <w:sz w:val="32"/>
          <w:szCs w:val="32"/>
          <w:shd w:val="solid" w:color="FFFFFF" w:fill="FFFFFF"/>
          <w:lang w:bidi="ar-SA"/>
        </w:rPr>
        <w:t>，</w:t>
      </w:r>
      <w:r>
        <w:rPr>
          <w:rFonts w:hint="eastAsia" w:ascii="仿宋" w:hAnsi="仿宋" w:eastAsia="仿宋" w:cs="仿宋"/>
          <w:b w:val="0"/>
          <w:bCs w:val="0"/>
          <w:color w:val="auto"/>
          <w:sz w:val="32"/>
          <w:szCs w:val="32"/>
          <w:shd w:val="solid" w:color="FFFFFF" w:fill="FFFFFF"/>
          <w:lang w:bidi="ar-SA"/>
        </w:rPr>
        <w:t>其中：文化旅游体育与传媒（类）支出</w:t>
      </w:r>
      <w:r>
        <w:rPr>
          <w:rFonts w:hint="eastAsia" w:ascii="仿宋" w:hAnsi="仿宋" w:eastAsia="仿宋" w:cs="仿宋"/>
          <w:b w:val="0"/>
          <w:bCs w:val="0"/>
          <w:color w:val="auto"/>
          <w:sz w:val="32"/>
          <w:szCs w:val="32"/>
          <w:shd w:val="solid" w:color="FFFFFF" w:fill="FFFFFF"/>
          <w:lang w:val="en-US" w:eastAsia="zh-CN" w:bidi="ar-SA"/>
        </w:rPr>
        <w:t>3165.55万</w:t>
      </w:r>
      <w:r>
        <w:rPr>
          <w:rFonts w:hint="eastAsia" w:ascii="仿宋" w:hAnsi="仿宋" w:eastAsia="仿宋" w:cs="仿宋"/>
          <w:b w:val="0"/>
          <w:bCs w:val="0"/>
          <w:color w:val="auto"/>
          <w:sz w:val="32"/>
          <w:szCs w:val="32"/>
          <w:shd w:val="solid" w:color="FFFFFF" w:fill="FFFFFF"/>
          <w:lang w:bidi="ar-SA"/>
        </w:rPr>
        <w:t>元，占</w:t>
      </w:r>
      <w:r>
        <w:rPr>
          <w:rFonts w:hint="eastAsia" w:ascii="仿宋" w:hAnsi="仿宋" w:eastAsia="仿宋" w:cs="仿宋"/>
          <w:b w:val="0"/>
          <w:bCs w:val="0"/>
          <w:color w:val="auto"/>
          <w:sz w:val="32"/>
          <w:szCs w:val="32"/>
          <w:shd w:val="solid" w:color="FFFFFF" w:fill="FFFFFF"/>
          <w:lang w:val="en-US" w:eastAsia="zh-CN" w:bidi="ar-SA"/>
        </w:rPr>
        <w:t>89.1</w:t>
      </w:r>
      <w:r>
        <w:rPr>
          <w:rFonts w:hint="eastAsia" w:ascii="仿宋" w:hAnsi="仿宋" w:eastAsia="仿宋" w:cs="仿宋"/>
          <w:b w:val="0"/>
          <w:bCs w:val="0"/>
          <w:color w:val="auto"/>
          <w:sz w:val="32"/>
          <w:szCs w:val="32"/>
          <w:shd w:val="solid" w:color="FFFFFF" w:fill="FFFFFF"/>
          <w:lang w:bidi="ar-SA"/>
        </w:rPr>
        <w:t>%；社会保障和就业（类）支出</w:t>
      </w:r>
      <w:r>
        <w:rPr>
          <w:rFonts w:hint="eastAsia" w:ascii="仿宋" w:hAnsi="仿宋" w:eastAsia="仿宋" w:cs="仿宋"/>
          <w:b w:val="0"/>
          <w:bCs w:val="0"/>
          <w:color w:val="auto"/>
          <w:sz w:val="32"/>
          <w:szCs w:val="32"/>
          <w:shd w:val="solid" w:color="FFFFFF" w:fill="FFFFFF"/>
          <w:lang w:val="en-US" w:eastAsia="zh-CN" w:bidi="ar-SA"/>
        </w:rPr>
        <w:t>166.79万</w:t>
      </w:r>
      <w:r>
        <w:rPr>
          <w:rFonts w:hint="eastAsia" w:ascii="仿宋" w:hAnsi="仿宋" w:eastAsia="仿宋" w:cs="仿宋"/>
          <w:b w:val="0"/>
          <w:bCs w:val="0"/>
          <w:color w:val="auto"/>
          <w:sz w:val="32"/>
          <w:szCs w:val="32"/>
          <w:shd w:val="solid" w:color="FFFFFF" w:fill="FFFFFF"/>
          <w:lang w:bidi="ar-SA"/>
        </w:rPr>
        <w:t>元，占</w:t>
      </w:r>
      <w:r>
        <w:rPr>
          <w:rFonts w:hint="eastAsia" w:ascii="仿宋" w:hAnsi="仿宋" w:eastAsia="仿宋" w:cs="仿宋"/>
          <w:b w:val="0"/>
          <w:bCs w:val="0"/>
          <w:color w:val="auto"/>
          <w:sz w:val="32"/>
          <w:szCs w:val="32"/>
          <w:shd w:val="solid" w:color="FFFFFF" w:fill="FFFFFF"/>
          <w:lang w:val="en-US" w:eastAsia="zh-CN" w:bidi="ar-SA"/>
        </w:rPr>
        <w:t>4.72</w:t>
      </w:r>
      <w:r>
        <w:rPr>
          <w:rFonts w:hint="eastAsia" w:ascii="仿宋" w:hAnsi="仿宋" w:eastAsia="仿宋" w:cs="仿宋"/>
          <w:b w:val="0"/>
          <w:bCs w:val="0"/>
          <w:color w:val="auto"/>
          <w:sz w:val="32"/>
          <w:szCs w:val="32"/>
          <w:shd w:val="solid" w:color="FFFFFF" w:fill="FFFFFF"/>
          <w:lang w:bidi="ar-SA"/>
        </w:rPr>
        <w:t>%；卫生健康（类）支出</w:t>
      </w:r>
      <w:r>
        <w:rPr>
          <w:rFonts w:hint="eastAsia" w:ascii="仿宋" w:hAnsi="仿宋" w:eastAsia="仿宋" w:cs="仿宋"/>
          <w:b w:val="0"/>
          <w:bCs w:val="0"/>
          <w:color w:val="auto"/>
          <w:sz w:val="32"/>
          <w:szCs w:val="32"/>
          <w:shd w:val="solid" w:color="FFFFFF" w:fill="FFFFFF"/>
          <w:lang w:val="en-US" w:eastAsia="zh-CN" w:bidi="ar-SA"/>
        </w:rPr>
        <w:t>75.77万</w:t>
      </w:r>
      <w:r>
        <w:rPr>
          <w:rFonts w:hint="eastAsia" w:ascii="仿宋" w:hAnsi="仿宋" w:eastAsia="仿宋" w:cs="仿宋"/>
          <w:b w:val="0"/>
          <w:bCs w:val="0"/>
          <w:color w:val="auto"/>
          <w:sz w:val="32"/>
          <w:szCs w:val="32"/>
          <w:shd w:val="solid" w:color="FFFFFF" w:fill="FFFFFF"/>
          <w:lang w:bidi="ar-SA"/>
        </w:rPr>
        <w:t>元，占</w:t>
      </w:r>
      <w:r>
        <w:rPr>
          <w:rFonts w:hint="eastAsia" w:ascii="仿宋" w:hAnsi="仿宋" w:eastAsia="仿宋" w:cs="仿宋"/>
          <w:b w:val="0"/>
          <w:bCs w:val="0"/>
          <w:color w:val="auto"/>
          <w:sz w:val="32"/>
          <w:szCs w:val="32"/>
          <w:shd w:val="solid" w:color="FFFFFF" w:fill="FFFFFF"/>
          <w:lang w:val="en-US" w:eastAsia="zh-CN" w:bidi="ar-SA"/>
        </w:rPr>
        <w:t>2.13</w:t>
      </w:r>
      <w:r>
        <w:rPr>
          <w:rFonts w:hint="eastAsia" w:ascii="仿宋" w:hAnsi="仿宋" w:eastAsia="仿宋" w:cs="仿宋"/>
          <w:b w:val="0"/>
          <w:bCs w:val="0"/>
          <w:color w:val="auto"/>
          <w:sz w:val="32"/>
          <w:szCs w:val="32"/>
          <w:shd w:val="solid" w:color="FFFFFF" w:fill="FFFFFF"/>
          <w:lang w:bidi="ar-SA"/>
        </w:rPr>
        <w:t>%；住房保障（类）支出</w:t>
      </w:r>
      <w:r>
        <w:rPr>
          <w:rFonts w:hint="eastAsia" w:ascii="仿宋" w:hAnsi="仿宋" w:eastAsia="仿宋" w:cs="仿宋"/>
          <w:b w:val="0"/>
          <w:bCs w:val="0"/>
          <w:color w:val="auto"/>
          <w:sz w:val="32"/>
          <w:szCs w:val="32"/>
          <w:shd w:val="solid" w:color="FFFFFF" w:fill="FFFFFF"/>
          <w:lang w:val="en-US" w:eastAsia="zh-CN" w:bidi="ar-SA"/>
        </w:rPr>
        <w:t>129.80万</w:t>
      </w:r>
      <w:r>
        <w:rPr>
          <w:rFonts w:hint="eastAsia" w:ascii="仿宋" w:hAnsi="仿宋" w:eastAsia="仿宋" w:cs="仿宋"/>
          <w:b w:val="0"/>
          <w:bCs w:val="0"/>
          <w:color w:val="auto"/>
          <w:sz w:val="32"/>
          <w:szCs w:val="32"/>
          <w:shd w:val="solid" w:color="FFFFFF" w:fill="FFFFFF"/>
          <w:lang w:bidi="ar-SA"/>
        </w:rPr>
        <w:t>元，占</w:t>
      </w:r>
      <w:r>
        <w:rPr>
          <w:rFonts w:hint="eastAsia" w:ascii="仿宋" w:hAnsi="仿宋" w:eastAsia="仿宋" w:cs="仿宋"/>
          <w:b w:val="0"/>
          <w:bCs w:val="0"/>
          <w:color w:val="auto"/>
          <w:sz w:val="32"/>
          <w:szCs w:val="32"/>
          <w:shd w:val="solid" w:color="FFFFFF" w:fill="FFFFFF"/>
          <w:lang w:val="en-US" w:eastAsia="zh-CN" w:bidi="ar-SA"/>
        </w:rPr>
        <w:t>3.65</w:t>
      </w:r>
      <w:r>
        <w:rPr>
          <w:rFonts w:hint="eastAsia" w:ascii="仿宋" w:hAnsi="仿宋" w:eastAsia="仿宋" w:cs="仿宋"/>
          <w:b w:val="0"/>
          <w:bCs w:val="0"/>
          <w:color w:val="auto"/>
          <w:sz w:val="32"/>
          <w:szCs w:val="32"/>
          <w:shd w:val="solid" w:color="FFFFFF" w:fill="FFFFFF"/>
          <w:lang w:bidi="ar-SA"/>
        </w:rPr>
        <w:t>%；</w:t>
      </w:r>
      <w:r>
        <w:rPr>
          <w:rFonts w:hint="eastAsia" w:ascii="仿宋" w:hAnsi="仿宋" w:eastAsia="仿宋" w:cs="仿宋"/>
          <w:b w:val="0"/>
          <w:bCs w:val="0"/>
          <w:color w:val="auto"/>
          <w:sz w:val="32"/>
          <w:szCs w:val="32"/>
          <w:shd w:val="solid" w:color="FFFFFF" w:fill="FFFFFF"/>
          <w:lang w:val="en-US" w:eastAsia="zh-CN" w:bidi="ar-SA"/>
        </w:rPr>
        <w:t>农林水支出（类）14.87万元</w:t>
      </w:r>
      <w:r>
        <w:rPr>
          <w:rFonts w:hint="eastAsia" w:ascii="仿宋" w:hAnsi="仿宋" w:eastAsia="仿宋" w:cs="仿宋"/>
          <w:b w:val="0"/>
          <w:bCs w:val="0"/>
          <w:color w:val="auto"/>
          <w:sz w:val="32"/>
          <w:szCs w:val="32"/>
          <w:shd w:val="solid" w:color="FFFFFF" w:fill="FFFFFF"/>
          <w:lang w:bidi="ar-SA"/>
        </w:rPr>
        <w:t>，占</w:t>
      </w:r>
      <w:r>
        <w:rPr>
          <w:rFonts w:hint="eastAsia" w:ascii="仿宋" w:hAnsi="仿宋" w:eastAsia="仿宋" w:cs="仿宋"/>
          <w:b w:val="0"/>
          <w:bCs w:val="0"/>
          <w:color w:val="auto"/>
          <w:sz w:val="32"/>
          <w:szCs w:val="32"/>
          <w:shd w:val="solid" w:color="FFFFFF" w:fill="FFFFFF"/>
          <w:lang w:val="en-US" w:eastAsia="zh-CN" w:bidi="ar-SA"/>
        </w:rPr>
        <w:t>0.4</w:t>
      </w:r>
      <w:r>
        <w:rPr>
          <w:rFonts w:hint="eastAsia" w:ascii="仿宋" w:hAnsi="仿宋" w:eastAsia="仿宋" w:cs="仿宋"/>
          <w:b w:val="0"/>
          <w:bCs w:val="0"/>
          <w:color w:val="auto"/>
          <w:sz w:val="32"/>
          <w:szCs w:val="32"/>
          <w:shd w:val="solid" w:color="FFFFFF" w:fill="FFFFFF"/>
          <w:lang w:bidi="ar-SA"/>
        </w:rPr>
        <w:t>%</w:t>
      </w:r>
      <w:r>
        <w:rPr>
          <w:rFonts w:hint="eastAsia" w:ascii="仿宋" w:hAnsi="仿宋" w:eastAsia="仿宋" w:cs="仿宋"/>
          <w:b w:val="0"/>
          <w:bCs w:val="0"/>
          <w:color w:val="auto"/>
          <w:sz w:val="32"/>
          <w:szCs w:val="32"/>
          <w:highlight w:val="none"/>
          <w:shd w:val="solid" w:color="FFFFFF" w:fill="FFFFFF"/>
          <w:lang w:eastAsia="zh-CN" w:bidi="ar-SA"/>
        </w:rPr>
        <w:t>。</w:t>
      </w:r>
      <w:r>
        <w:rPr>
          <w:rFonts w:hint="eastAsia" w:ascii="仿宋" w:hAnsi="仿宋" w:eastAsia="仿宋" w:cs="仿宋"/>
          <w:b w:val="0"/>
          <w:bCs w:val="0"/>
          <w:color w:val="auto"/>
          <w:sz w:val="32"/>
          <w:szCs w:val="32"/>
          <w:highlight w:val="none"/>
          <w:shd w:val="solid" w:color="FFFFFF" w:fill="FFFFFF"/>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sz w:val="32"/>
          <w:szCs w:val="32"/>
          <w:shd w:val="solid" w:color="FFFFFF" w:fill="FFFFFF"/>
          <w:lang w:bidi="ar-SA"/>
        </w:rPr>
        <w:t>202</w:t>
      </w:r>
      <w:r>
        <w:rPr>
          <w:rFonts w:hint="eastAsia" w:ascii="仿宋" w:hAnsi="仿宋" w:eastAsia="仿宋" w:cs="仿宋"/>
          <w:color w:val="auto"/>
          <w:sz w:val="32"/>
          <w:szCs w:val="32"/>
          <w:shd w:val="solid" w:color="FFFFFF" w:fill="FFFFFF"/>
          <w:lang w:val="en-US" w:eastAsia="zh-CN" w:bidi="ar-SA"/>
        </w:rPr>
        <w:t>1</w:t>
      </w:r>
      <w:r>
        <w:rPr>
          <w:rFonts w:hint="eastAsia" w:ascii="仿宋" w:hAnsi="仿宋" w:eastAsia="仿宋" w:cs="仿宋"/>
          <w:color w:val="auto"/>
          <w:sz w:val="32"/>
          <w:szCs w:val="32"/>
          <w:shd w:val="solid" w:color="FFFFFF" w:fill="FFFFFF"/>
          <w:lang w:bidi="ar-SA"/>
        </w:rPr>
        <w:t>年</w:t>
      </w:r>
      <w:r>
        <w:rPr>
          <w:rFonts w:hint="eastAsia" w:ascii="仿宋" w:hAnsi="仿宋" w:eastAsia="仿宋" w:cs="仿宋"/>
          <w:color w:val="auto"/>
          <w:sz w:val="32"/>
          <w:szCs w:val="32"/>
          <w:shd w:val="solid" w:color="FFFFFF" w:fill="FFFFFF"/>
          <w:lang w:eastAsia="zh-CN" w:bidi="ar-SA"/>
        </w:rPr>
        <w:t>本单位</w:t>
      </w:r>
      <w:r>
        <w:rPr>
          <w:rFonts w:hint="eastAsia" w:ascii="仿宋" w:hAnsi="仿宋" w:eastAsia="仿宋" w:cs="仿宋"/>
          <w:color w:val="auto"/>
          <w:sz w:val="32"/>
          <w:szCs w:val="32"/>
          <w:shd w:val="solid" w:color="FFFFFF" w:fill="FFFFFF"/>
          <w:lang w:bidi="ar-SA"/>
        </w:rPr>
        <w:t>部门</w:t>
      </w:r>
      <w:r>
        <w:rPr>
          <w:rFonts w:hint="eastAsia" w:ascii="仿宋" w:hAnsi="仿宋" w:eastAsia="仿宋" w:cs="仿宋"/>
          <w:color w:val="auto"/>
          <w:sz w:val="32"/>
          <w:szCs w:val="32"/>
          <w:shd w:val="solid" w:color="FFFFFF" w:fill="FFFFFF"/>
          <w:lang w:eastAsia="zh-CN" w:bidi="ar-SA"/>
        </w:rPr>
        <w:t>预算</w:t>
      </w:r>
      <w:r>
        <w:rPr>
          <w:rFonts w:hint="eastAsia" w:ascii="仿宋" w:hAnsi="仿宋" w:eastAsia="仿宋" w:cs="仿宋"/>
          <w:color w:val="auto"/>
          <w:sz w:val="32"/>
          <w:szCs w:val="32"/>
          <w:shd w:val="solid" w:color="FFFFFF" w:fill="FFFFFF"/>
          <w:lang w:bidi="ar-SA"/>
        </w:rPr>
        <w:t>支出总计</w:t>
      </w:r>
      <w:r>
        <w:rPr>
          <w:rFonts w:hint="eastAsia" w:ascii="仿宋" w:hAnsi="仿宋" w:eastAsia="仿宋" w:cs="仿宋"/>
          <w:color w:val="auto"/>
          <w:kern w:val="2"/>
          <w:sz w:val="32"/>
          <w:szCs w:val="32"/>
          <w:lang w:val="en-US" w:eastAsia="zh-CN" w:bidi="ar-SA"/>
        </w:rPr>
        <w:t>3552.78万元</w:t>
      </w:r>
      <w:r>
        <w:rPr>
          <w:rFonts w:hint="eastAsia" w:ascii="仿宋" w:hAnsi="仿宋" w:eastAsia="仿宋" w:cs="仿宋"/>
          <w:color w:val="auto"/>
          <w:sz w:val="32"/>
          <w:szCs w:val="32"/>
          <w:shd w:val="solid" w:color="FFFFFF" w:fill="FFFFFF"/>
          <w:lang w:bidi="ar-SA"/>
        </w:rPr>
        <w:t>，</w:t>
      </w:r>
      <w:r>
        <w:rPr>
          <w:rFonts w:hint="eastAsia" w:ascii="仿宋" w:hAnsi="仿宋" w:eastAsia="仿宋" w:cs="仿宋"/>
          <w:color w:val="auto"/>
          <w:kern w:val="2"/>
          <w:sz w:val="32"/>
          <w:szCs w:val="32"/>
          <w:lang w:val="en-US" w:eastAsia="zh-CN" w:bidi="ar-SA"/>
        </w:rPr>
        <w:t>其中：人员经费支出1921.24元，占总支出的54.08%；日常公用经费支出976.13元，占总支出的27.47%；项目经费支出655.41元，占总支出的18.45%。</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3" w:firstLineChars="200"/>
        <w:textAlignment w:val="auto"/>
        <w:rPr>
          <w:rFonts w:hint="eastAsia" w:ascii="仿宋" w:hAnsi="仿宋" w:eastAsia="仿宋" w:cs="仿宋"/>
          <w:b/>
          <w:bCs/>
          <w:color w:val="auto"/>
          <w:sz w:val="32"/>
          <w:szCs w:val="32"/>
          <w:shd w:val="solid" w:color="FFFFFF" w:fill="FFFFFF"/>
          <w:lang w:val="en-US" w:eastAsia="zh-CN" w:bidi="ar-SA"/>
        </w:rPr>
      </w:pPr>
      <w:r>
        <w:rPr>
          <w:rFonts w:hint="eastAsia" w:ascii="仿宋" w:hAnsi="仿宋" w:eastAsia="仿宋" w:cs="仿宋"/>
          <w:b/>
          <w:bCs/>
          <w:color w:val="auto"/>
          <w:sz w:val="32"/>
          <w:szCs w:val="32"/>
          <w:shd w:val="solid" w:color="FFFFFF" w:fill="FFFFFF"/>
          <w:lang w:val="en-US" w:eastAsia="zh-CN" w:bidi="ar-SA"/>
        </w:rPr>
        <w:t>2.基本支出情况</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sz w:val="32"/>
          <w:szCs w:val="32"/>
          <w:shd w:val="solid" w:color="FFFFFF" w:fill="FFFFFF"/>
          <w:lang w:bidi="ar-SA"/>
        </w:rPr>
      </w:pPr>
      <w:r>
        <w:rPr>
          <w:rFonts w:hint="eastAsia" w:ascii="仿宋" w:hAnsi="仿宋" w:eastAsia="仿宋" w:cs="仿宋"/>
          <w:color w:val="auto"/>
          <w:sz w:val="32"/>
          <w:szCs w:val="32"/>
          <w:shd w:val="solid" w:color="FFFFFF" w:fill="FFFFFF"/>
          <w:lang w:bidi="ar-SA"/>
        </w:rPr>
        <w:t>20</w:t>
      </w:r>
      <w:r>
        <w:rPr>
          <w:rFonts w:hint="eastAsia" w:ascii="仿宋" w:hAnsi="仿宋" w:eastAsia="仿宋" w:cs="仿宋"/>
          <w:color w:val="auto"/>
          <w:sz w:val="32"/>
          <w:szCs w:val="32"/>
          <w:shd w:val="solid" w:color="FFFFFF" w:fill="FFFFFF"/>
          <w:lang w:val="en-US" w:eastAsia="zh-CN" w:bidi="ar-SA"/>
        </w:rPr>
        <w:t>21</w:t>
      </w:r>
      <w:r>
        <w:rPr>
          <w:rFonts w:hint="eastAsia" w:ascii="仿宋" w:hAnsi="仿宋" w:eastAsia="仿宋" w:cs="仿宋"/>
          <w:color w:val="auto"/>
          <w:sz w:val="32"/>
          <w:szCs w:val="32"/>
          <w:shd w:val="solid" w:color="FFFFFF" w:fill="FFFFFF"/>
          <w:lang w:bidi="ar-SA"/>
        </w:rPr>
        <w:t>年一般公共预算财政拨款基本支出</w:t>
      </w:r>
      <w:r>
        <w:rPr>
          <w:rFonts w:hint="eastAsia" w:ascii="仿宋" w:hAnsi="仿宋" w:eastAsia="仿宋" w:cs="仿宋"/>
          <w:color w:val="auto"/>
          <w:sz w:val="32"/>
          <w:szCs w:val="32"/>
          <w:shd w:val="solid" w:color="FFFFFF" w:fill="FFFFFF"/>
          <w:lang w:val="en-US" w:eastAsia="zh-CN" w:bidi="ar-SA"/>
        </w:rPr>
        <w:t>2897.37万</w:t>
      </w:r>
      <w:r>
        <w:rPr>
          <w:rFonts w:hint="eastAsia" w:ascii="仿宋" w:hAnsi="仿宋" w:eastAsia="仿宋" w:cs="仿宋"/>
          <w:color w:val="auto"/>
          <w:sz w:val="32"/>
          <w:szCs w:val="32"/>
          <w:shd w:val="solid" w:color="FFFFFF" w:fill="FFFFFF"/>
          <w:lang w:bidi="ar-SA"/>
        </w:rPr>
        <w:t>元，</w:t>
      </w:r>
      <w:r>
        <w:rPr>
          <w:rFonts w:hint="eastAsia" w:ascii="仿宋" w:hAnsi="仿宋" w:eastAsia="仿宋" w:cs="仿宋"/>
          <w:color w:val="auto"/>
          <w:sz w:val="32"/>
          <w:szCs w:val="32"/>
          <w:shd w:val="solid" w:color="FFFFFF" w:fill="FFFFFF"/>
          <w:lang w:eastAsia="zh-CN" w:bidi="ar-SA"/>
        </w:rPr>
        <w:t>包括人员经费和日常公用经费。</w:t>
      </w:r>
      <w:r>
        <w:rPr>
          <w:rFonts w:hint="eastAsia" w:ascii="仿宋" w:hAnsi="仿宋" w:eastAsia="仿宋" w:cs="仿宋"/>
          <w:color w:val="auto"/>
          <w:sz w:val="32"/>
          <w:szCs w:val="32"/>
          <w:shd w:val="solid" w:color="FFFFFF" w:fill="FFFFFF"/>
          <w:lang w:bidi="ar-SA"/>
        </w:rPr>
        <w:t>其中：人员经费</w:t>
      </w:r>
      <w:r>
        <w:rPr>
          <w:rFonts w:hint="eastAsia" w:ascii="仿宋" w:hAnsi="仿宋" w:eastAsia="仿宋" w:cs="仿宋"/>
          <w:color w:val="auto"/>
          <w:sz w:val="32"/>
          <w:szCs w:val="32"/>
          <w:shd w:val="solid" w:color="FFFFFF" w:fill="FFFFFF"/>
          <w:lang w:val="en-US" w:eastAsia="zh-CN" w:bidi="ar-SA"/>
        </w:rPr>
        <w:t>1921.24万</w:t>
      </w:r>
      <w:r>
        <w:rPr>
          <w:rFonts w:hint="eastAsia" w:ascii="仿宋" w:hAnsi="仿宋" w:eastAsia="仿宋" w:cs="仿宋"/>
          <w:color w:val="auto"/>
          <w:sz w:val="32"/>
          <w:szCs w:val="32"/>
          <w:shd w:val="solid" w:color="FFFFFF" w:fill="FFFFFF"/>
          <w:lang w:bidi="ar-SA"/>
        </w:rPr>
        <w:t>元，主要包括基本工资、津贴补贴、奖金、绩效工资、伙食补助费、机关事业单位基本养老保险费、职业年金缴费、职工基本医疗保险缴费、其他社会保障缴费、住房公积金、其他工资福利支出、其他个人和家庭的补助支出等</w:t>
      </w:r>
      <w:r>
        <w:rPr>
          <w:rFonts w:hint="eastAsia" w:ascii="仿宋" w:hAnsi="仿宋" w:eastAsia="仿宋" w:cs="仿宋"/>
          <w:color w:val="auto"/>
          <w:sz w:val="32"/>
          <w:szCs w:val="32"/>
          <w:shd w:val="solid" w:color="FFFFFF" w:fill="FFFFFF"/>
          <w:lang w:eastAsia="zh-CN" w:bidi="ar-SA"/>
        </w:rPr>
        <w:t>；</w:t>
      </w:r>
      <w:r>
        <w:rPr>
          <w:rFonts w:hint="eastAsia" w:ascii="仿宋" w:hAnsi="仿宋" w:eastAsia="仿宋" w:cs="仿宋"/>
          <w:color w:val="auto"/>
          <w:sz w:val="32"/>
          <w:szCs w:val="32"/>
          <w:shd w:val="solid" w:color="FFFFFF" w:fill="FFFFFF"/>
          <w:lang w:bidi="ar-SA"/>
        </w:rPr>
        <w:t>公用经费</w:t>
      </w:r>
      <w:r>
        <w:rPr>
          <w:rFonts w:hint="eastAsia" w:ascii="仿宋" w:hAnsi="仿宋" w:eastAsia="仿宋" w:cs="仿宋"/>
          <w:color w:val="auto"/>
          <w:sz w:val="32"/>
          <w:szCs w:val="32"/>
          <w:shd w:val="solid" w:color="FFFFFF" w:fill="FFFFFF"/>
          <w:lang w:val="en-US" w:eastAsia="zh-CN" w:bidi="ar-SA"/>
        </w:rPr>
        <w:t>976.13万</w:t>
      </w:r>
      <w:r>
        <w:rPr>
          <w:rFonts w:hint="eastAsia" w:ascii="仿宋" w:hAnsi="仿宋" w:eastAsia="仿宋" w:cs="仿宋"/>
          <w:color w:val="auto"/>
          <w:sz w:val="32"/>
          <w:szCs w:val="32"/>
          <w:shd w:val="solid" w:color="FFFFFF" w:fill="FFFFFF"/>
          <w:lang w:bidi="ar-SA"/>
        </w:rPr>
        <w:t>元，主要包括办公费、印刷费、水费、电费、邮电费、差旅费、维修（护）费、会议费、培训费、劳务费、福利费、其他交通费、税金及附加费用、其他商品和服务支出等。</w:t>
      </w:r>
    </w:p>
    <w:p>
      <w:pPr>
        <w:keepNext w:val="0"/>
        <w:keepLines w:val="0"/>
        <w:pageBreakBefore w:val="0"/>
        <w:widowControl w:val="0"/>
        <w:kinsoku/>
        <w:wordWrap/>
        <w:overflowPunct/>
        <w:topLinePunct w:val="0"/>
        <w:autoSpaceDE/>
        <w:autoSpaceDN/>
        <w:bidi w:val="0"/>
        <w:snapToGrid w:val="0"/>
        <w:spacing w:line="480" w:lineRule="exact"/>
        <w:ind w:firstLine="643" w:firstLineChars="200"/>
        <w:textAlignment w:val="auto"/>
        <w:rPr>
          <w:rFonts w:hint="eastAsia" w:ascii="仿宋" w:hAnsi="仿宋" w:eastAsia="仿宋" w:cs="仿宋"/>
          <w:b/>
          <w:bCs/>
          <w:color w:val="auto"/>
          <w:sz w:val="32"/>
          <w:szCs w:val="32"/>
          <w:shd w:val="solid" w:color="FFFFFF" w:fill="FFFFFF"/>
          <w:lang w:bidi="ar-SA"/>
        </w:rPr>
      </w:pPr>
      <w:r>
        <w:rPr>
          <w:rFonts w:hint="eastAsia" w:ascii="仿宋" w:hAnsi="仿宋" w:eastAsia="仿宋" w:cs="仿宋"/>
          <w:b/>
          <w:bCs/>
          <w:color w:val="auto"/>
          <w:sz w:val="32"/>
          <w:szCs w:val="32"/>
          <w:shd w:val="solid" w:color="FFFFFF" w:fill="FFFFFF"/>
          <w:lang w:val="en-US" w:eastAsia="zh-CN" w:bidi="ar-SA"/>
        </w:rPr>
        <w:t>3.</w:t>
      </w:r>
      <w:r>
        <w:rPr>
          <w:rFonts w:hint="eastAsia" w:ascii="仿宋" w:hAnsi="仿宋" w:eastAsia="仿宋" w:cs="仿宋"/>
          <w:b/>
          <w:bCs/>
          <w:color w:val="auto"/>
          <w:sz w:val="32"/>
          <w:szCs w:val="32"/>
          <w:shd w:val="solid" w:color="FFFFFF" w:fill="FFFFFF"/>
          <w:lang w:bidi="ar-SA"/>
        </w:rPr>
        <w:t>项目支出情况</w:t>
      </w:r>
    </w:p>
    <w:p>
      <w:pPr>
        <w:keepNext w:val="0"/>
        <w:keepLines w:val="0"/>
        <w:pageBreakBefore w:val="0"/>
        <w:kinsoku/>
        <w:wordWrap/>
        <w:overflowPunct/>
        <w:topLinePunct w:val="0"/>
        <w:bidi w:val="0"/>
        <w:spacing w:line="480" w:lineRule="exact"/>
        <w:ind w:firstLine="640" w:firstLineChars="200"/>
        <w:textAlignment w:val="auto"/>
        <w:rPr>
          <w:rStyle w:val="10"/>
          <w:rFonts w:hint="eastAsia" w:ascii="仿宋" w:hAnsi="仿宋" w:eastAsia="仿宋" w:cs="仿宋"/>
          <w:b w:val="0"/>
          <w:bCs w:val="0"/>
          <w:color w:val="000000"/>
          <w:sz w:val="32"/>
          <w:szCs w:val="32"/>
          <w:lang w:val="zh-CN" w:eastAsia="zh-CN"/>
        </w:rPr>
      </w:pPr>
      <w:r>
        <w:rPr>
          <w:rStyle w:val="10"/>
          <w:rFonts w:hint="eastAsia" w:ascii="仿宋" w:hAnsi="仿宋" w:eastAsia="仿宋" w:cs="仿宋"/>
          <w:b w:val="0"/>
          <w:bCs w:val="0"/>
          <w:color w:val="000000"/>
          <w:sz w:val="32"/>
          <w:szCs w:val="32"/>
          <w:lang w:val="zh-CN" w:eastAsia="zh-CN"/>
        </w:rPr>
        <w:t>20</w:t>
      </w:r>
      <w:r>
        <w:rPr>
          <w:rStyle w:val="10"/>
          <w:rFonts w:hint="eastAsia" w:ascii="仿宋" w:hAnsi="仿宋" w:eastAsia="仿宋" w:cs="仿宋"/>
          <w:b w:val="0"/>
          <w:bCs w:val="0"/>
          <w:color w:val="000000"/>
          <w:sz w:val="32"/>
          <w:szCs w:val="32"/>
          <w:lang w:val="en-US" w:eastAsia="zh-CN"/>
        </w:rPr>
        <w:t>21</w:t>
      </w:r>
      <w:r>
        <w:rPr>
          <w:rStyle w:val="10"/>
          <w:rFonts w:hint="eastAsia" w:ascii="仿宋" w:hAnsi="仿宋" w:eastAsia="仿宋" w:cs="仿宋"/>
          <w:b w:val="0"/>
          <w:bCs w:val="0"/>
          <w:color w:val="000000"/>
          <w:sz w:val="32"/>
          <w:szCs w:val="32"/>
          <w:lang w:val="zh-CN" w:eastAsia="zh-CN"/>
        </w:rPr>
        <w:t>年一般公共预算财政拨款项目支出</w:t>
      </w:r>
      <w:r>
        <w:rPr>
          <w:rStyle w:val="10"/>
          <w:rFonts w:hint="eastAsia" w:ascii="仿宋" w:hAnsi="仿宋" w:eastAsia="仿宋" w:cs="仿宋"/>
          <w:b w:val="0"/>
          <w:bCs w:val="0"/>
          <w:color w:val="000000"/>
          <w:sz w:val="32"/>
          <w:szCs w:val="32"/>
          <w:lang w:val="en-US" w:eastAsia="zh-CN"/>
        </w:rPr>
        <w:t>655.41万</w:t>
      </w:r>
      <w:r>
        <w:rPr>
          <w:rStyle w:val="10"/>
          <w:rFonts w:hint="eastAsia" w:ascii="仿宋" w:hAnsi="仿宋" w:eastAsia="仿宋" w:cs="仿宋"/>
          <w:b w:val="0"/>
          <w:bCs w:val="0"/>
          <w:color w:val="000000"/>
          <w:sz w:val="32"/>
          <w:szCs w:val="32"/>
          <w:lang w:val="zh-CN" w:eastAsia="zh-CN"/>
        </w:rPr>
        <w:t>元，其中：达古冰川</w:t>
      </w:r>
      <w:r>
        <w:rPr>
          <w:rStyle w:val="10"/>
          <w:rFonts w:hint="eastAsia" w:ascii="仿宋" w:hAnsi="仿宋" w:eastAsia="仿宋" w:cs="仿宋"/>
          <w:b w:val="0"/>
          <w:bCs w:val="0"/>
          <w:color w:val="000000"/>
          <w:sz w:val="32"/>
          <w:szCs w:val="32"/>
          <w:lang w:val="en-US" w:eastAsia="zh-CN"/>
        </w:rPr>
        <w:t>国家地质公园建设项目333.12万</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应急救援中心项目21.59万</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自然保护区生态旅游规划50.75万元，</w:t>
      </w:r>
      <w:r>
        <w:rPr>
          <w:rStyle w:val="10"/>
          <w:rFonts w:hint="eastAsia" w:ascii="仿宋" w:hAnsi="仿宋" w:eastAsia="仿宋" w:cs="仿宋"/>
          <w:b w:val="0"/>
          <w:bCs w:val="0"/>
          <w:color w:val="000000"/>
          <w:sz w:val="32"/>
          <w:szCs w:val="32"/>
          <w:lang w:val="zh-CN" w:eastAsia="zh-CN"/>
        </w:rPr>
        <w:t>罗毕牧场河道</w:t>
      </w:r>
      <w:r>
        <w:rPr>
          <w:rStyle w:val="10"/>
          <w:rFonts w:hint="eastAsia" w:ascii="仿宋" w:hAnsi="仿宋" w:eastAsia="仿宋" w:cs="仿宋"/>
          <w:b w:val="0"/>
          <w:bCs w:val="0"/>
          <w:color w:val="000000"/>
          <w:sz w:val="32"/>
          <w:szCs w:val="32"/>
          <w:lang w:val="en-US" w:eastAsia="zh-CN"/>
        </w:rPr>
        <w:t>防洪治涝生态修复工程</w:t>
      </w:r>
      <w:r>
        <w:rPr>
          <w:rStyle w:val="10"/>
          <w:rFonts w:hint="eastAsia" w:ascii="仿宋" w:hAnsi="仿宋" w:eastAsia="仿宋" w:cs="仿宋"/>
          <w:b w:val="0"/>
          <w:bCs w:val="0"/>
          <w:color w:val="000000"/>
          <w:sz w:val="32"/>
          <w:szCs w:val="32"/>
          <w:lang w:val="zh-CN" w:eastAsia="zh-CN"/>
        </w:rPr>
        <w:t>项目</w:t>
      </w:r>
      <w:r>
        <w:rPr>
          <w:rStyle w:val="10"/>
          <w:rFonts w:hint="eastAsia" w:ascii="仿宋" w:hAnsi="仿宋" w:eastAsia="仿宋" w:cs="仿宋"/>
          <w:b w:val="0"/>
          <w:bCs w:val="0"/>
          <w:color w:val="000000"/>
          <w:sz w:val="32"/>
          <w:szCs w:val="32"/>
          <w:lang w:val="en-US" w:eastAsia="zh-CN"/>
        </w:rPr>
        <w:t>26.24万</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景区国家级生态旅游示范区建设43.84万元，供水管道维修项目23.05万元，游客观光栈道改扩建项目28.41万元，地质灾害治理17.53万元，景区维修项目6.61万元，景区</w:t>
      </w:r>
      <w:r>
        <w:rPr>
          <w:rStyle w:val="10"/>
          <w:rFonts w:hint="eastAsia" w:ascii="仿宋" w:hAnsi="仿宋" w:eastAsia="仿宋" w:cs="仿宋"/>
          <w:b w:val="0"/>
          <w:bCs w:val="0"/>
          <w:color w:val="000000"/>
          <w:sz w:val="32"/>
          <w:szCs w:val="32"/>
          <w:lang w:val="zh-CN" w:eastAsia="zh-CN"/>
        </w:rPr>
        <w:t>标识标牌</w:t>
      </w:r>
      <w:r>
        <w:rPr>
          <w:rStyle w:val="10"/>
          <w:rFonts w:hint="eastAsia" w:ascii="仿宋" w:hAnsi="仿宋" w:eastAsia="仿宋" w:cs="仿宋"/>
          <w:b w:val="0"/>
          <w:bCs w:val="0"/>
          <w:color w:val="000000"/>
          <w:sz w:val="32"/>
          <w:szCs w:val="32"/>
          <w:lang w:val="en-US" w:eastAsia="zh-CN"/>
        </w:rPr>
        <w:t>提升改造</w:t>
      </w:r>
      <w:r>
        <w:rPr>
          <w:rStyle w:val="10"/>
          <w:rFonts w:hint="eastAsia" w:ascii="仿宋" w:hAnsi="仿宋" w:eastAsia="仿宋" w:cs="仿宋"/>
          <w:b w:val="0"/>
          <w:bCs w:val="0"/>
          <w:color w:val="000000"/>
          <w:sz w:val="32"/>
          <w:szCs w:val="32"/>
          <w:lang w:val="zh-CN" w:eastAsia="zh-CN"/>
        </w:rPr>
        <w:t>项目</w:t>
      </w:r>
      <w:r>
        <w:rPr>
          <w:rStyle w:val="10"/>
          <w:rFonts w:hint="eastAsia" w:ascii="仿宋" w:hAnsi="仿宋" w:eastAsia="仿宋" w:cs="仿宋"/>
          <w:b w:val="0"/>
          <w:bCs w:val="0"/>
          <w:color w:val="000000"/>
          <w:sz w:val="32"/>
          <w:szCs w:val="32"/>
          <w:lang w:val="en-US" w:eastAsia="zh-CN"/>
        </w:rPr>
        <w:t>11.07万</w:t>
      </w:r>
      <w:r>
        <w:rPr>
          <w:rStyle w:val="10"/>
          <w:rFonts w:hint="eastAsia" w:ascii="仿宋" w:hAnsi="仿宋" w:eastAsia="仿宋" w:cs="仿宋"/>
          <w:b w:val="0"/>
          <w:bCs w:val="0"/>
          <w:color w:val="000000"/>
          <w:sz w:val="32"/>
          <w:szCs w:val="32"/>
          <w:lang w:val="zh-CN" w:eastAsia="zh-CN"/>
        </w:rPr>
        <w:t>元，</w:t>
      </w:r>
      <w:r>
        <w:rPr>
          <w:rStyle w:val="10"/>
          <w:rFonts w:hint="eastAsia" w:ascii="仿宋" w:hAnsi="仿宋" w:eastAsia="仿宋" w:cs="仿宋"/>
          <w:b w:val="0"/>
          <w:bCs w:val="0"/>
          <w:color w:val="000000"/>
          <w:sz w:val="32"/>
          <w:szCs w:val="32"/>
          <w:lang w:val="en-US" w:eastAsia="zh-CN"/>
        </w:rPr>
        <w:t>游客中心河堤（冲垮）维修项目6.12万元，自然保护区金丝猴调查项目14.87万元，自然保护区能力建设项目72.21万元。多为项目质量保证金、项目尾款及项目前期费用。</w:t>
      </w:r>
    </w:p>
    <w:p>
      <w:pPr>
        <w:keepNext w:val="0"/>
        <w:keepLines w:val="0"/>
        <w:pageBreakBefore w:val="0"/>
        <w:widowControl/>
        <w:numPr>
          <w:ilvl w:val="0"/>
          <w:numId w:val="5"/>
        </w:numPr>
        <w:kinsoku/>
        <w:wordWrap/>
        <w:overflowPunct/>
        <w:topLinePunct w:val="0"/>
        <w:bidi w:val="0"/>
        <w:adjustRightInd w:val="0"/>
        <w:snapToGrid w:val="0"/>
        <w:spacing w:line="480" w:lineRule="exact"/>
        <w:ind w:firstLine="640" w:firstLineChars="200"/>
        <w:contextualSpacing/>
        <w:jc w:val="left"/>
        <w:textAlignment w:val="auto"/>
        <w:rPr>
          <w:rFonts w:hint="eastAsia" w:ascii="黑体" w:eastAsia="黑体" w:cs="宋体"/>
          <w:color w:val="000000"/>
          <w:kern w:val="0"/>
          <w:sz w:val="32"/>
          <w:szCs w:val="32"/>
          <w:shd w:val="clear" w:color="auto" w:fill="FFFFFF"/>
        </w:rPr>
      </w:pPr>
      <w:r>
        <w:rPr>
          <w:rFonts w:hint="eastAsia" w:ascii="黑体" w:eastAsia="黑体" w:cs="宋体"/>
          <w:color w:val="000000"/>
          <w:kern w:val="0"/>
          <w:sz w:val="32"/>
          <w:szCs w:val="32"/>
          <w:shd w:val="clear" w:color="auto" w:fill="FFFFFF"/>
        </w:rPr>
        <w:t>部门整体预算绩效管理情况</w:t>
      </w:r>
    </w:p>
    <w:p>
      <w:pPr>
        <w:keepNext w:val="0"/>
        <w:keepLines w:val="0"/>
        <w:pageBreakBefore w:val="0"/>
        <w:widowControl/>
        <w:numPr>
          <w:ilvl w:val="0"/>
          <w:numId w:val="0"/>
        </w:numPr>
        <w:kinsoku/>
        <w:wordWrap/>
        <w:overflowPunct/>
        <w:topLinePunct w:val="0"/>
        <w:bidi w:val="0"/>
        <w:adjustRightInd w:val="0"/>
        <w:snapToGrid w:val="0"/>
        <w:spacing w:line="480" w:lineRule="exact"/>
        <w:ind w:firstLine="321" w:firstLineChars="100"/>
        <w:contextualSpacing/>
        <w:jc w:val="left"/>
        <w:textAlignment w:val="auto"/>
        <w:rPr>
          <w:rFonts w:hint="eastAsia" w:ascii="仿宋_GB2312" w:cs="宋体"/>
          <w:b/>
          <w:bCs/>
          <w:color w:val="000000"/>
          <w:kern w:val="0"/>
          <w:sz w:val="32"/>
          <w:szCs w:val="32"/>
          <w:shd w:val="clear" w:color="auto" w:fill="FFFFFF"/>
          <w:lang w:val="zh-CN"/>
        </w:rPr>
      </w:pPr>
      <w:r>
        <w:rPr>
          <w:rFonts w:hint="eastAsia" w:ascii="仿宋_GB2312" w:cs="宋体"/>
          <w:b/>
          <w:bCs/>
          <w:color w:val="000000"/>
          <w:kern w:val="0"/>
          <w:sz w:val="32"/>
          <w:szCs w:val="32"/>
          <w:shd w:val="clear" w:color="auto" w:fill="FFFFFF"/>
          <w:lang w:val="zh-CN"/>
        </w:rPr>
        <w:t>（一）部门预算管理</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1.绩效目标完成情况</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b/>
          <w:color w:val="auto"/>
          <w:sz w:val="32"/>
          <w:szCs w:val="32"/>
          <w:lang w:val="en-US"/>
        </w:rPr>
      </w:pPr>
      <w:r>
        <w:rPr>
          <w:rFonts w:hint="eastAsia" w:ascii="仿宋" w:hAnsi="仿宋" w:eastAsia="仿宋" w:cs="仿宋"/>
          <w:color w:val="auto"/>
          <w:sz w:val="32"/>
          <w:szCs w:val="32"/>
          <w:shd w:val="solid" w:color="FFFFFF" w:fill="FFFFFF"/>
          <w:lang w:val="en-US" w:eastAsia="zh-CN" w:bidi="ar-SA"/>
        </w:rPr>
        <w:t>2021年,达古冰川景区共接待游客20.06万人次，同比下降9.11%；实现景区综合收入5506.01万元，同比下降10.56%；实现景区门票收入1141.78万元，同比下降10.12%。由于受新冠肺炎疫情影响，州文体旅局对景区没有下达目标任务。</w:t>
      </w:r>
    </w:p>
    <w:p>
      <w:pPr>
        <w:keepNext w:val="0"/>
        <w:keepLines w:val="0"/>
        <w:pageBreakBefore w:val="0"/>
        <w:numPr>
          <w:ilvl w:val="0"/>
          <w:numId w:val="0"/>
        </w:numPr>
        <w:kinsoku/>
        <w:wordWrap/>
        <w:overflowPunct/>
        <w:topLinePunct w:val="0"/>
        <w:autoSpaceDE/>
        <w:autoSpaceDN/>
        <w:bidi w:val="0"/>
        <w:adjustRightInd/>
        <w:spacing w:beforeAutospacing="0" w:afterAutospacing="0" w:line="480" w:lineRule="exact"/>
        <w:ind w:firstLine="643" w:firstLineChars="200"/>
        <w:jc w:val="left"/>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2.</w:t>
      </w:r>
      <w:r>
        <w:rPr>
          <w:rFonts w:hint="eastAsia" w:ascii="仿宋" w:hAnsi="仿宋" w:eastAsia="仿宋" w:cs="仿宋"/>
          <w:b/>
          <w:bCs/>
          <w:color w:val="auto"/>
          <w:sz w:val="32"/>
          <w:szCs w:val="32"/>
        </w:rPr>
        <w:t>预算编制情况</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0" w:firstLineChars="200"/>
        <w:textAlignment w:val="auto"/>
        <w:rPr>
          <w:rFonts w:hint="eastAsia" w:ascii="仿宋" w:eastAsia="仿宋" w:cs="仿宋"/>
          <w:color w:val="auto"/>
          <w:sz w:val="32"/>
          <w:szCs w:val="32"/>
          <w:shd w:val="solid" w:color="FFFFFF" w:fill="FFFFFF"/>
          <w:lang w:val="en-US" w:eastAsia="zh-CN" w:bidi="ar-SA"/>
        </w:rPr>
      </w:pPr>
      <w:r>
        <w:rPr>
          <w:rFonts w:hint="eastAsia" w:ascii="仿宋" w:eastAsia="仿宋" w:cs="仿宋"/>
          <w:color w:val="auto"/>
          <w:sz w:val="32"/>
          <w:szCs w:val="32"/>
          <w:shd w:val="solid" w:color="FFFFFF" w:fill="FFFFFF"/>
          <w:lang w:val="en-US" w:eastAsia="zh-CN" w:bidi="ar-SA"/>
        </w:rPr>
        <w:t>2021年本单位本着全面预算、国库集中支付、收支两条线管理的要求和对预算管理工作重要性的认识，紧紧围绕管理局中心工作，以“以收定支、量入为出、保证重点、兼顾一般”的原则，完成了年度预算的编制工作，确保了我局各项工作的顺利开展。</w:t>
      </w:r>
    </w:p>
    <w:p>
      <w:pPr>
        <w:pStyle w:val="13"/>
        <w:keepNext w:val="0"/>
        <w:keepLines w:val="0"/>
        <w:pageBreakBefore w:val="0"/>
        <w:widowControl w:val="0"/>
        <w:kinsoku/>
        <w:wordWrap/>
        <w:overflowPunct/>
        <w:topLinePunct w:val="0"/>
        <w:autoSpaceDE/>
        <w:autoSpaceDN/>
        <w:bidi w:val="0"/>
        <w:spacing w:before="0" w:line="480" w:lineRule="exact"/>
        <w:ind w:firstLine="640"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2021年本单位部门预算总收入3829.43万元。</w:t>
      </w:r>
      <w:r>
        <w:rPr>
          <w:rFonts w:hint="eastAsia" w:ascii="仿宋" w:hAnsi="仿宋" w:eastAsia="仿宋" w:cs="仿宋"/>
          <w:color w:val="auto"/>
          <w:sz w:val="32"/>
          <w:szCs w:val="32"/>
          <w:shd w:val="solid" w:color="FFFFFF" w:fill="FFFFFF"/>
          <w:lang w:bidi="ar-SA"/>
        </w:rPr>
        <w:t>其中：年初结转和结余数</w:t>
      </w:r>
      <w:r>
        <w:rPr>
          <w:rFonts w:hint="eastAsia" w:ascii="仿宋" w:hAnsi="仿宋" w:eastAsia="仿宋" w:cs="仿宋"/>
          <w:color w:val="auto"/>
          <w:sz w:val="32"/>
          <w:szCs w:val="32"/>
          <w:shd w:val="solid" w:color="FFFFFF" w:fill="FFFFFF"/>
          <w:lang w:val="en-US" w:eastAsia="zh-CN" w:bidi="ar-SA"/>
        </w:rPr>
        <w:t>363.38万</w:t>
      </w:r>
      <w:r>
        <w:rPr>
          <w:rFonts w:hint="eastAsia" w:ascii="仿宋" w:hAnsi="仿宋" w:eastAsia="仿宋" w:cs="仿宋"/>
          <w:color w:val="auto"/>
          <w:sz w:val="32"/>
          <w:szCs w:val="32"/>
          <w:shd w:val="solid" w:color="FFFFFF" w:fill="FFFFFF"/>
          <w:lang w:bidi="ar-SA"/>
        </w:rPr>
        <w:t>元</w:t>
      </w:r>
      <w:r>
        <w:rPr>
          <w:rFonts w:hint="eastAsia" w:ascii="仿宋" w:hAnsi="仿宋" w:eastAsia="仿宋" w:cs="仿宋"/>
          <w:color w:val="auto"/>
          <w:sz w:val="32"/>
          <w:szCs w:val="32"/>
          <w:shd w:val="solid" w:color="FFFFFF" w:fill="FFFFFF"/>
          <w:lang w:eastAsia="zh-CN" w:bidi="ar-SA"/>
        </w:rPr>
        <w:t>，</w:t>
      </w:r>
      <w:r>
        <w:rPr>
          <w:rFonts w:hint="eastAsia" w:ascii="仿宋" w:hAnsi="仿宋" w:eastAsia="仿宋" w:cs="仿宋"/>
          <w:color w:val="auto"/>
          <w:kern w:val="2"/>
          <w:sz w:val="32"/>
          <w:szCs w:val="32"/>
          <w:lang w:val="en-US" w:eastAsia="zh-CN" w:bidi="ar-SA"/>
        </w:rPr>
        <w:t>占总收入的9.49%；</w:t>
      </w:r>
      <w:r>
        <w:rPr>
          <w:rFonts w:hint="eastAsia" w:ascii="仿宋" w:hAnsi="仿宋" w:eastAsia="仿宋" w:cs="仿宋"/>
          <w:color w:val="auto"/>
          <w:sz w:val="32"/>
          <w:szCs w:val="32"/>
          <w:shd w:val="solid" w:color="FFFFFF" w:fill="FFFFFF"/>
          <w:lang w:eastAsia="zh-CN" w:bidi="ar-SA"/>
        </w:rPr>
        <w:t>本年</w:t>
      </w:r>
      <w:r>
        <w:rPr>
          <w:rFonts w:hint="eastAsia" w:ascii="仿宋" w:hAnsi="仿宋" w:eastAsia="仿宋" w:cs="仿宋"/>
          <w:color w:val="auto"/>
          <w:sz w:val="32"/>
          <w:szCs w:val="32"/>
          <w:shd w:val="solid" w:color="FFFFFF" w:fill="FFFFFF"/>
          <w:lang w:bidi="ar-SA"/>
        </w:rPr>
        <w:t>预算安排</w:t>
      </w:r>
      <w:r>
        <w:rPr>
          <w:rFonts w:hint="eastAsia" w:ascii="仿宋" w:hAnsi="仿宋" w:eastAsia="仿宋" w:cs="仿宋"/>
          <w:color w:val="auto"/>
          <w:sz w:val="32"/>
          <w:szCs w:val="32"/>
          <w:shd w:val="solid" w:color="FFFFFF" w:fill="FFFFFF"/>
          <w:lang w:val="en-US" w:eastAsia="zh-CN" w:bidi="ar-SA"/>
        </w:rPr>
        <w:t>3466.05</w:t>
      </w:r>
      <w:r>
        <w:rPr>
          <w:rFonts w:hint="eastAsia" w:ascii="仿宋" w:hAnsi="仿宋" w:eastAsia="仿宋" w:cs="仿宋"/>
          <w:color w:val="auto"/>
          <w:sz w:val="32"/>
          <w:szCs w:val="32"/>
          <w:shd w:val="solid" w:color="FFFFFF" w:fill="FFFFFF"/>
          <w:lang w:bidi="ar-SA"/>
        </w:rPr>
        <w:t>元</w:t>
      </w:r>
      <w:r>
        <w:rPr>
          <w:rFonts w:hint="eastAsia" w:ascii="仿宋" w:hAnsi="仿宋" w:eastAsia="仿宋" w:cs="仿宋"/>
          <w:color w:val="auto"/>
          <w:sz w:val="32"/>
          <w:szCs w:val="32"/>
          <w:shd w:val="solid" w:color="FFFFFF" w:fill="FFFFFF"/>
          <w:lang w:eastAsia="zh-CN" w:bidi="ar-SA"/>
        </w:rPr>
        <w:t>，</w:t>
      </w:r>
      <w:r>
        <w:rPr>
          <w:rFonts w:hint="eastAsia" w:ascii="仿宋" w:hAnsi="仿宋" w:eastAsia="仿宋" w:cs="仿宋"/>
          <w:color w:val="auto"/>
          <w:kern w:val="2"/>
          <w:sz w:val="32"/>
          <w:szCs w:val="32"/>
          <w:lang w:val="en-US" w:eastAsia="zh-CN" w:bidi="ar-SA"/>
        </w:rPr>
        <w:t>占总收入的90.51%</w:t>
      </w:r>
      <w:r>
        <w:rPr>
          <w:rFonts w:hint="eastAsia" w:ascii="仿宋" w:hAnsi="仿宋" w:eastAsia="仿宋" w:cs="仿宋"/>
          <w:color w:val="auto"/>
          <w:sz w:val="32"/>
          <w:szCs w:val="32"/>
          <w:shd w:val="solid" w:color="FFFFFF" w:fill="FFFFFF"/>
          <w:lang w:bidi="ar-SA"/>
        </w:rPr>
        <w:t>。</w:t>
      </w:r>
      <w:r>
        <w:rPr>
          <w:rFonts w:hint="eastAsia" w:ascii="仿宋" w:hAnsi="仿宋" w:eastAsia="仿宋" w:cs="仿宋"/>
          <w:color w:val="auto"/>
          <w:sz w:val="32"/>
          <w:szCs w:val="32"/>
          <w:shd w:val="solid" w:color="FFFFFF" w:fill="FFFFFF"/>
          <w:lang w:eastAsia="zh-CN" w:bidi="ar-SA"/>
        </w:rPr>
        <w:t>本年预算</w:t>
      </w:r>
      <w:r>
        <w:rPr>
          <w:rFonts w:hint="eastAsia" w:ascii="仿宋" w:hAnsi="仿宋" w:eastAsia="仿宋" w:cs="仿宋"/>
          <w:color w:val="auto"/>
          <w:sz w:val="32"/>
          <w:szCs w:val="32"/>
          <w:shd w:val="solid" w:color="FFFFFF" w:fill="FFFFFF"/>
          <w:lang w:bidi="ar-SA"/>
        </w:rPr>
        <w:t>与20</w:t>
      </w:r>
      <w:r>
        <w:rPr>
          <w:rFonts w:hint="eastAsia" w:ascii="仿宋" w:hAnsi="仿宋" w:eastAsia="仿宋" w:cs="仿宋"/>
          <w:color w:val="auto"/>
          <w:sz w:val="32"/>
          <w:szCs w:val="32"/>
          <w:shd w:val="solid" w:color="FFFFFF" w:fill="FFFFFF"/>
          <w:lang w:val="en-US" w:eastAsia="zh-CN" w:bidi="ar-SA"/>
        </w:rPr>
        <w:t>20</w:t>
      </w:r>
      <w:r>
        <w:rPr>
          <w:rFonts w:hint="eastAsia" w:ascii="仿宋" w:hAnsi="仿宋" w:eastAsia="仿宋" w:cs="仿宋"/>
          <w:color w:val="auto"/>
          <w:sz w:val="32"/>
          <w:szCs w:val="32"/>
          <w:shd w:val="solid" w:color="FFFFFF" w:fill="FFFFFF"/>
          <w:lang w:bidi="ar-SA"/>
        </w:rPr>
        <w:t>年相比</w:t>
      </w:r>
      <w:r>
        <w:rPr>
          <w:rFonts w:hint="eastAsia" w:ascii="仿宋" w:hAnsi="仿宋" w:eastAsia="仿宋" w:cs="仿宋"/>
          <w:color w:val="auto"/>
          <w:sz w:val="32"/>
          <w:szCs w:val="32"/>
          <w:shd w:val="solid" w:color="FFFFFF" w:fill="FFFFFF"/>
          <w:lang w:val="en-US" w:eastAsia="zh-CN" w:bidi="ar-SA"/>
        </w:rPr>
        <w:t>增加303.03万元</w:t>
      </w:r>
      <w:r>
        <w:rPr>
          <w:rFonts w:hint="eastAsia" w:ascii="仿宋" w:hAnsi="仿宋" w:eastAsia="仿宋" w:cs="仿宋"/>
          <w:color w:val="auto"/>
          <w:sz w:val="32"/>
          <w:szCs w:val="32"/>
          <w:shd w:val="solid" w:color="FFFFFF" w:fill="FFFFFF"/>
          <w:lang w:bidi="ar-SA"/>
        </w:rPr>
        <w:t>，</w:t>
      </w:r>
      <w:r>
        <w:rPr>
          <w:rFonts w:hint="eastAsia" w:ascii="仿宋" w:hAnsi="仿宋" w:eastAsia="仿宋" w:cs="仿宋"/>
          <w:color w:val="auto"/>
          <w:sz w:val="32"/>
          <w:szCs w:val="32"/>
          <w:shd w:val="solid" w:color="FFFFFF" w:fill="FFFFFF"/>
          <w:lang w:val="en-US" w:eastAsia="zh-CN" w:bidi="ar-SA"/>
        </w:rPr>
        <w:t>增加9.6</w:t>
      </w:r>
      <w:r>
        <w:rPr>
          <w:rFonts w:hint="eastAsia" w:ascii="仿宋" w:hAnsi="仿宋" w:eastAsia="仿宋" w:cs="仿宋"/>
          <w:color w:val="auto"/>
          <w:sz w:val="32"/>
          <w:szCs w:val="32"/>
          <w:shd w:val="solid" w:color="FFFFFF" w:fill="FFFFFF"/>
          <w:lang w:bidi="ar-SA"/>
        </w:rPr>
        <w:t>%。</w:t>
      </w:r>
      <w:r>
        <w:rPr>
          <w:rFonts w:hint="eastAsia" w:ascii="仿宋" w:hAnsi="仿宋" w:eastAsia="仿宋" w:cs="仿宋"/>
          <w:color w:val="auto"/>
          <w:kern w:val="2"/>
          <w:sz w:val="32"/>
          <w:szCs w:val="32"/>
          <w:lang w:val="en-US" w:eastAsia="zh-CN" w:bidi="ar-SA"/>
        </w:rPr>
        <w:t>增加的原因：增加了职工目标管理绩效奖和新增30名季节性临时用工。</w:t>
      </w:r>
    </w:p>
    <w:p>
      <w:pPr>
        <w:keepNext w:val="0"/>
        <w:keepLines w:val="0"/>
        <w:pageBreakBefore w:val="0"/>
        <w:numPr>
          <w:ilvl w:val="0"/>
          <w:numId w:val="0"/>
        </w:numPr>
        <w:kinsoku/>
        <w:wordWrap/>
        <w:overflowPunct/>
        <w:topLinePunct w:val="0"/>
        <w:autoSpaceDE/>
        <w:autoSpaceDN/>
        <w:bidi w:val="0"/>
        <w:adjustRightInd/>
        <w:spacing w:beforeAutospacing="0" w:afterAutospacing="0" w:line="480" w:lineRule="exact"/>
        <w:ind w:firstLine="643" w:firstLineChars="200"/>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3.</w:t>
      </w:r>
      <w:r>
        <w:rPr>
          <w:rFonts w:hint="eastAsia" w:ascii="仿宋" w:hAnsi="仿宋" w:eastAsia="仿宋" w:cs="仿宋"/>
          <w:b/>
          <w:bCs/>
          <w:color w:val="auto"/>
          <w:sz w:val="32"/>
          <w:szCs w:val="32"/>
          <w:lang w:eastAsia="zh-CN"/>
        </w:rPr>
        <w:t>预算</w:t>
      </w:r>
      <w:r>
        <w:rPr>
          <w:rFonts w:hint="eastAsia" w:ascii="仿宋" w:hAnsi="仿宋" w:eastAsia="仿宋" w:cs="仿宋"/>
          <w:b/>
          <w:bCs/>
          <w:color w:val="auto"/>
          <w:sz w:val="32"/>
          <w:szCs w:val="32"/>
        </w:rPr>
        <w:t>执行管理情况</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sz w:val="32"/>
          <w:szCs w:val="32"/>
          <w:shd w:val="solid" w:color="FFFFFF" w:fill="FFFFFF"/>
          <w:lang w:val="en-US" w:eastAsia="zh-CN" w:bidi="ar-SA"/>
        </w:rPr>
      </w:pPr>
      <w:r>
        <w:rPr>
          <w:rFonts w:hint="eastAsia" w:ascii="仿宋" w:hAnsi="仿宋" w:eastAsia="仿宋" w:cs="仿宋"/>
          <w:color w:val="auto"/>
          <w:sz w:val="32"/>
          <w:szCs w:val="32"/>
          <w:shd w:val="solid" w:color="FFFFFF" w:fill="FFFFFF"/>
          <w:lang w:val="en-US" w:eastAsia="zh-CN" w:bidi="ar-SA"/>
        </w:rPr>
        <w:t>基于全面预算、国库集中支付、收支两条线管理的要求和对预算管理工作重要性的认识，我局根据年初下达的收支预算总额及预算编制的具体项目、科目统筹安排好全局各项工作，重点保证了工资发放和管理局的日常工作运转。在日常的财务管理中，充分发挥预算的目标作用，积极控制各项费用的支出，精打细算，厉行节约，努力提高资金使用效率。</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3" w:firstLineChars="200"/>
        <w:textAlignment w:val="auto"/>
        <w:rPr>
          <w:rFonts w:hint="eastAsia" w:ascii="仿宋" w:eastAsia="仿宋" w:cs="仿宋"/>
          <w:b/>
          <w:bCs/>
          <w:color w:val="auto"/>
          <w:sz w:val="32"/>
          <w:szCs w:val="32"/>
          <w:shd w:val="solid" w:color="FFFFFF" w:fill="FFFFFF"/>
          <w:lang w:val="en-US" w:eastAsia="zh-CN" w:bidi="ar-SA"/>
        </w:rPr>
      </w:pPr>
      <w:r>
        <w:rPr>
          <w:rFonts w:hint="eastAsia" w:ascii="宋体" w:hAnsi="宋体" w:eastAsia="宋体" w:cs="宋体"/>
          <w:b/>
          <w:bCs/>
          <w:color w:val="auto"/>
          <w:sz w:val="32"/>
          <w:szCs w:val="32"/>
          <w:shd w:val="solid" w:color="FFFFFF" w:fill="FFFFFF"/>
          <w:lang w:val="en-US" w:eastAsia="zh-CN" w:bidi="ar-SA"/>
        </w:rPr>
        <w:t>⑴</w:t>
      </w:r>
      <w:r>
        <w:rPr>
          <w:rFonts w:hint="eastAsia" w:ascii="仿宋" w:eastAsia="仿宋" w:cs="仿宋"/>
          <w:b/>
          <w:bCs/>
          <w:color w:val="auto"/>
          <w:sz w:val="32"/>
          <w:szCs w:val="32"/>
          <w:shd w:val="solid" w:color="FFFFFF" w:fill="FFFFFF"/>
          <w:lang w:val="en-US" w:eastAsia="zh-CN" w:bidi="ar-SA"/>
        </w:rPr>
        <w:t>预算执行进度情况</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sz w:val="32"/>
          <w:szCs w:val="32"/>
          <w:shd w:val="solid" w:color="FFFFFF" w:fill="FFFFFF"/>
          <w:lang w:val="en-US" w:eastAsia="zh-CN" w:bidi="ar-SA"/>
        </w:rPr>
      </w:pPr>
      <w:r>
        <w:rPr>
          <w:rFonts w:hint="eastAsia" w:ascii="仿宋" w:hAnsi="仿宋" w:eastAsia="仿宋" w:cs="仿宋"/>
          <w:color w:val="auto"/>
          <w:sz w:val="32"/>
          <w:szCs w:val="32"/>
          <w:shd w:val="solid" w:color="FFFFFF" w:fill="FFFFFF"/>
          <w:lang w:val="en-US" w:eastAsia="zh-CN" w:bidi="ar-SA"/>
        </w:rPr>
        <w:t>2021年本单位截止3月底支出532.22万元，完成年度预算的13.90%；截止6月底支出1360.84万元，完成年度预算的35.53%；截止9月底支出2260.13万元，完成年度预算的59.02%；截止11月底支出2782.40万元，完成年度预算支出的72.66%；截止12月底全年支出合计3552.78万元，完成年度总预算的92.78%。</w:t>
      </w:r>
    </w:p>
    <w:p>
      <w:pPr>
        <w:keepNext w:val="0"/>
        <w:keepLines w:val="0"/>
        <w:pageBreakBefore w:val="0"/>
        <w:widowControl w:val="0"/>
        <w:numPr>
          <w:ilvl w:val="0"/>
          <w:numId w:val="0"/>
        </w:numPr>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sz w:val="32"/>
          <w:szCs w:val="32"/>
          <w:shd w:val="solid" w:color="FFFFFF" w:fill="FFFFFF"/>
          <w:lang w:val="en-US" w:eastAsia="zh-CN" w:bidi="ar-SA"/>
        </w:rPr>
      </w:pPr>
      <w:r>
        <w:rPr>
          <w:rFonts w:hint="eastAsia" w:ascii="仿宋" w:hAnsi="仿宋" w:eastAsia="仿宋" w:cs="仿宋"/>
          <w:color w:val="auto"/>
          <w:sz w:val="32"/>
          <w:szCs w:val="32"/>
          <w:shd w:val="solid" w:color="FFFFFF" w:fill="FFFFFF"/>
          <w:lang w:val="en-US" w:eastAsia="zh-CN" w:bidi="ar-SA"/>
        </w:rPr>
        <w:t>2021年1-11月预算执行进度偏低的原因：一是因受新冠肺炎疫情影响，景区游客接待量下降，原计划在今年新增的季节性临时用工延迟到本年末才招聘，造成新增的季节性临时人员经费支出率偏低；二是因受疫情影响，景区宣传促销工作主要在9月后启动，按合同约定，经费在年底才能结算，因此造成前期执行进度偏低。</w:t>
      </w:r>
    </w:p>
    <w:p>
      <w:pPr>
        <w:pStyle w:val="13"/>
        <w:keepNext w:val="0"/>
        <w:keepLines w:val="0"/>
        <w:pageBreakBefore w:val="0"/>
        <w:widowControl w:val="0"/>
        <w:kinsoku/>
        <w:wordWrap/>
        <w:overflowPunct/>
        <w:topLinePunct w:val="0"/>
        <w:autoSpaceDE/>
        <w:autoSpaceDN/>
        <w:bidi w:val="0"/>
        <w:spacing w:before="0" w:line="480" w:lineRule="exact"/>
        <w:ind w:firstLine="643" w:firstLineChars="200"/>
        <w:textAlignment w:val="auto"/>
        <w:rPr>
          <w:rFonts w:hint="eastAsia" w:ascii="仿宋" w:hAnsi="仿宋" w:eastAsia="仿宋" w:cs="仿宋"/>
          <w:color w:val="auto"/>
          <w:kern w:val="2"/>
          <w:sz w:val="32"/>
          <w:szCs w:val="32"/>
          <w:lang w:val="en-US" w:eastAsia="zh-CN" w:bidi="ar-SA"/>
        </w:rPr>
      </w:pPr>
      <w:r>
        <w:rPr>
          <w:rFonts w:hint="eastAsia" w:ascii="宋体" w:hAnsi="宋体" w:eastAsia="宋体" w:cs="宋体"/>
          <w:b/>
          <w:bCs/>
          <w:color w:val="auto"/>
          <w:sz w:val="32"/>
          <w:szCs w:val="32"/>
          <w:shd w:val="solid" w:color="FFFFFF" w:fill="FFFFFF"/>
          <w:lang w:val="en-US" w:eastAsia="zh-CN" w:bidi="ar-SA"/>
        </w:rPr>
        <w:t>⑵</w:t>
      </w:r>
      <w:r>
        <w:rPr>
          <w:rFonts w:hint="eastAsia" w:ascii="仿宋" w:eastAsia="仿宋" w:cs="仿宋"/>
          <w:b/>
          <w:bCs/>
          <w:color w:val="auto"/>
          <w:sz w:val="32"/>
          <w:szCs w:val="32"/>
          <w:shd w:val="solid" w:color="FFFFFF" w:fill="FFFFFF"/>
          <w:lang w:val="en-US" w:eastAsia="zh-CN" w:bidi="ar-SA"/>
        </w:rPr>
        <w:t>“三公经费”预算执行管理情况</w:t>
      </w:r>
    </w:p>
    <w:p>
      <w:pPr>
        <w:keepNext w:val="0"/>
        <w:keepLines w:val="0"/>
        <w:pageBreakBefore w:val="0"/>
        <w:widowControl w:val="0"/>
        <w:kinsoku/>
        <w:wordWrap/>
        <w:overflowPunct/>
        <w:topLinePunct w:val="0"/>
        <w:autoSpaceDE/>
        <w:autoSpaceDN/>
        <w:bidi w:val="0"/>
        <w:snapToGrid w:val="0"/>
        <w:spacing w:line="480" w:lineRule="exact"/>
        <w:ind w:firstLine="632" w:firstLineChars="200"/>
        <w:textAlignment w:val="auto"/>
        <w:rPr>
          <w:rFonts w:hint="eastAsia" w:ascii="仿宋" w:hAnsi="仿宋" w:eastAsia="仿宋" w:cs="仿宋"/>
          <w:color w:val="auto"/>
          <w:sz w:val="32"/>
          <w:szCs w:val="32"/>
          <w:shd w:val="solid" w:color="FFFFFF" w:fill="FFFFFF"/>
          <w:lang w:bidi="ar-SA"/>
        </w:rPr>
      </w:pPr>
      <w:r>
        <w:rPr>
          <w:rFonts w:hint="eastAsia" w:ascii="仿宋" w:hAnsi="仿宋" w:eastAsia="仿宋" w:cs="仿宋"/>
          <w:color w:val="auto"/>
          <w:spacing w:val="-2"/>
          <w:sz w:val="32"/>
          <w:szCs w:val="32"/>
          <w:shd w:val="solid" w:color="FFFFFF" w:fill="FFFFFF"/>
          <w:lang w:bidi="ar-SA"/>
        </w:rPr>
        <w:t>202</w:t>
      </w:r>
      <w:r>
        <w:rPr>
          <w:rFonts w:hint="eastAsia" w:ascii="仿宋" w:hAnsi="仿宋" w:eastAsia="仿宋" w:cs="仿宋"/>
          <w:color w:val="auto"/>
          <w:spacing w:val="-2"/>
          <w:sz w:val="32"/>
          <w:szCs w:val="32"/>
          <w:shd w:val="solid" w:color="FFFFFF" w:fill="FFFFFF"/>
          <w:lang w:val="en-US" w:eastAsia="zh-CN" w:bidi="ar-SA"/>
        </w:rPr>
        <w:t>1</w:t>
      </w:r>
      <w:r>
        <w:rPr>
          <w:rFonts w:hint="eastAsia" w:ascii="仿宋" w:hAnsi="仿宋" w:eastAsia="仿宋" w:cs="仿宋"/>
          <w:color w:val="auto"/>
          <w:spacing w:val="-2"/>
          <w:sz w:val="32"/>
          <w:szCs w:val="32"/>
          <w:shd w:val="solid" w:color="FFFFFF" w:fill="FFFFFF"/>
          <w:lang w:bidi="ar-SA"/>
        </w:rPr>
        <w:t>年，“三公”经费</w:t>
      </w:r>
      <w:r>
        <w:rPr>
          <w:rFonts w:hint="eastAsia" w:ascii="仿宋" w:hAnsi="仿宋" w:eastAsia="仿宋" w:cs="仿宋"/>
          <w:color w:val="auto"/>
          <w:spacing w:val="-2"/>
          <w:sz w:val="32"/>
          <w:szCs w:val="32"/>
          <w:shd w:val="solid" w:color="FFFFFF" w:fill="FFFFFF"/>
          <w:lang w:eastAsia="zh-CN" w:bidi="ar-SA"/>
        </w:rPr>
        <w:t>共</w:t>
      </w:r>
      <w:r>
        <w:rPr>
          <w:rFonts w:hint="eastAsia" w:ascii="仿宋" w:hAnsi="仿宋" w:eastAsia="仿宋" w:cs="仿宋"/>
          <w:color w:val="auto"/>
          <w:spacing w:val="-2"/>
          <w:sz w:val="32"/>
          <w:szCs w:val="32"/>
          <w:shd w:val="solid" w:color="FFFFFF" w:fill="FFFFFF"/>
          <w:lang w:bidi="ar-SA"/>
        </w:rPr>
        <w:t>支出</w:t>
      </w:r>
      <w:r>
        <w:rPr>
          <w:rFonts w:hint="eastAsia" w:ascii="仿宋" w:hAnsi="仿宋" w:eastAsia="仿宋" w:cs="仿宋"/>
          <w:color w:val="auto"/>
          <w:spacing w:val="-2"/>
          <w:sz w:val="32"/>
          <w:szCs w:val="32"/>
          <w:shd w:val="solid" w:color="FFFFFF" w:fill="FFFFFF"/>
          <w:lang w:val="en-US" w:eastAsia="zh-CN" w:bidi="ar-SA"/>
        </w:rPr>
        <w:t>210.95万元，其中：</w:t>
      </w:r>
      <w:r>
        <w:rPr>
          <w:rFonts w:hint="eastAsia" w:ascii="仿宋" w:hAnsi="仿宋" w:eastAsia="仿宋" w:cs="仿宋"/>
          <w:color w:val="auto"/>
          <w:spacing w:val="-2"/>
          <w:sz w:val="32"/>
          <w:szCs w:val="32"/>
          <w:shd w:val="solid" w:color="FFFFFF" w:fill="FFFFFF"/>
          <w:lang w:bidi="ar-SA"/>
        </w:rPr>
        <w:t>因公出国（境）费支出</w:t>
      </w:r>
      <w:r>
        <w:rPr>
          <w:rFonts w:hint="eastAsia" w:ascii="仿宋" w:hAnsi="仿宋" w:eastAsia="仿宋" w:cs="仿宋"/>
          <w:color w:val="auto"/>
          <w:spacing w:val="-2"/>
          <w:sz w:val="32"/>
          <w:szCs w:val="32"/>
          <w:shd w:val="solid" w:color="FFFFFF" w:fill="FFFFFF"/>
          <w:lang w:val="en-US" w:eastAsia="zh-CN" w:bidi="ar-SA"/>
        </w:rPr>
        <w:t>0</w:t>
      </w:r>
      <w:r>
        <w:rPr>
          <w:rFonts w:hint="eastAsia" w:ascii="仿宋" w:hAnsi="仿宋" w:eastAsia="仿宋" w:cs="仿宋"/>
          <w:color w:val="auto"/>
          <w:spacing w:val="-2"/>
          <w:sz w:val="32"/>
          <w:szCs w:val="32"/>
          <w:shd w:val="solid" w:color="FFFFFF" w:fill="FFFFFF"/>
          <w:lang w:bidi="ar-SA"/>
        </w:rPr>
        <w:t>元，占</w:t>
      </w:r>
      <w:r>
        <w:rPr>
          <w:rFonts w:hint="eastAsia" w:ascii="仿宋" w:hAnsi="仿宋" w:eastAsia="仿宋" w:cs="仿宋"/>
          <w:color w:val="auto"/>
          <w:spacing w:val="-2"/>
          <w:sz w:val="32"/>
          <w:szCs w:val="32"/>
          <w:shd w:val="solid" w:color="FFFFFF" w:fill="FFFFFF"/>
          <w:lang w:val="en-US" w:eastAsia="zh-CN" w:bidi="ar-SA"/>
        </w:rPr>
        <w:t>0</w:t>
      </w:r>
      <w:r>
        <w:rPr>
          <w:rFonts w:hint="eastAsia" w:ascii="仿宋" w:hAnsi="仿宋" w:eastAsia="仿宋" w:cs="仿宋"/>
          <w:color w:val="auto"/>
          <w:spacing w:val="-2"/>
          <w:sz w:val="32"/>
          <w:szCs w:val="32"/>
          <w:shd w:val="solid" w:color="FFFFFF" w:fill="FFFFFF"/>
          <w:lang w:bidi="ar-SA"/>
        </w:rPr>
        <w:t>%；公务用车购置及运行维护费支出</w:t>
      </w:r>
      <w:r>
        <w:rPr>
          <w:rFonts w:hint="eastAsia" w:ascii="仿宋" w:hAnsi="仿宋" w:eastAsia="仿宋" w:cs="仿宋"/>
          <w:color w:val="auto"/>
          <w:spacing w:val="-2"/>
          <w:sz w:val="32"/>
          <w:szCs w:val="32"/>
          <w:shd w:val="solid" w:color="FFFFFF" w:fill="FFFFFF"/>
          <w:lang w:val="en-US" w:eastAsia="zh-CN" w:bidi="ar-SA"/>
        </w:rPr>
        <w:t>163.41万元</w:t>
      </w:r>
      <w:r>
        <w:rPr>
          <w:rFonts w:hint="eastAsia" w:ascii="仿宋" w:hAnsi="仿宋" w:eastAsia="仿宋" w:cs="仿宋"/>
          <w:color w:val="auto"/>
          <w:spacing w:val="-2"/>
          <w:sz w:val="32"/>
          <w:szCs w:val="32"/>
          <w:shd w:val="solid" w:color="FFFFFF" w:fill="FFFFFF"/>
          <w:lang w:bidi="ar-SA"/>
        </w:rPr>
        <w:t>，占</w:t>
      </w:r>
      <w:r>
        <w:rPr>
          <w:rFonts w:hint="eastAsia" w:ascii="仿宋" w:hAnsi="仿宋" w:eastAsia="仿宋" w:cs="仿宋"/>
          <w:color w:val="auto"/>
          <w:spacing w:val="-2"/>
          <w:sz w:val="32"/>
          <w:szCs w:val="32"/>
          <w:shd w:val="solid" w:color="FFFFFF" w:fill="FFFFFF"/>
          <w:lang w:val="en-US" w:eastAsia="zh-CN" w:bidi="ar-SA"/>
        </w:rPr>
        <w:t>77.46</w:t>
      </w:r>
      <w:r>
        <w:rPr>
          <w:rFonts w:hint="eastAsia" w:ascii="仿宋" w:hAnsi="仿宋" w:eastAsia="仿宋" w:cs="仿宋"/>
          <w:color w:val="auto"/>
          <w:spacing w:val="-2"/>
          <w:sz w:val="32"/>
          <w:szCs w:val="32"/>
          <w:shd w:val="solid" w:color="FFFFFF" w:fill="FFFFFF"/>
          <w:lang w:bidi="ar-SA"/>
        </w:rPr>
        <w:t>%；公务接待费支出</w:t>
      </w:r>
      <w:r>
        <w:rPr>
          <w:rFonts w:hint="eastAsia" w:ascii="仿宋" w:hAnsi="仿宋" w:eastAsia="仿宋" w:cs="仿宋"/>
          <w:color w:val="auto"/>
          <w:spacing w:val="-2"/>
          <w:sz w:val="32"/>
          <w:szCs w:val="32"/>
          <w:shd w:val="solid" w:color="FFFFFF" w:fill="FFFFFF"/>
          <w:lang w:val="en-US" w:eastAsia="zh-CN" w:bidi="ar-SA"/>
        </w:rPr>
        <w:t>47.54万</w:t>
      </w:r>
      <w:r>
        <w:rPr>
          <w:rFonts w:hint="eastAsia" w:ascii="仿宋" w:hAnsi="仿宋" w:eastAsia="仿宋" w:cs="仿宋"/>
          <w:color w:val="auto"/>
          <w:spacing w:val="-2"/>
          <w:sz w:val="32"/>
          <w:szCs w:val="32"/>
          <w:shd w:val="solid" w:color="FFFFFF" w:fill="FFFFFF"/>
          <w:lang w:bidi="ar-SA"/>
        </w:rPr>
        <w:t>元，占</w:t>
      </w:r>
      <w:r>
        <w:rPr>
          <w:rFonts w:hint="eastAsia" w:ascii="仿宋" w:hAnsi="仿宋" w:eastAsia="仿宋" w:cs="仿宋"/>
          <w:color w:val="auto"/>
          <w:spacing w:val="-2"/>
          <w:sz w:val="32"/>
          <w:szCs w:val="32"/>
          <w:shd w:val="solid" w:color="FFFFFF" w:fill="FFFFFF"/>
          <w:lang w:val="en-US" w:eastAsia="zh-CN" w:bidi="ar-SA"/>
        </w:rPr>
        <w:t>22.54</w:t>
      </w:r>
      <w:r>
        <w:rPr>
          <w:rFonts w:hint="eastAsia" w:ascii="仿宋" w:hAnsi="仿宋" w:eastAsia="仿宋" w:cs="仿宋"/>
          <w:color w:val="auto"/>
          <w:spacing w:val="-2"/>
          <w:sz w:val="32"/>
          <w:szCs w:val="32"/>
          <w:shd w:val="solid" w:color="FFFFFF" w:fill="FFFFFF"/>
          <w:lang w:bidi="ar-SA"/>
        </w:rPr>
        <w:t>%。</w:t>
      </w:r>
    </w:p>
    <w:p>
      <w:pPr>
        <w:keepNext w:val="0"/>
        <w:keepLines w:val="0"/>
        <w:pageBreakBefore w:val="0"/>
        <w:widowControl w:val="0"/>
        <w:kinsoku/>
        <w:wordWrap/>
        <w:overflowPunct/>
        <w:topLinePunct w:val="0"/>
        <w:autoSpaceDE/>
        <w:autoSpaceDN/>
        <w:bidi w:val="0"/>
        <w:snapToGrid w:val="0"/>
        <w:spacing w:line="480" w:lineRule="exact"/>
        <w:ind w:firstLine="635" w:firstLineChars="200"/>
        <w:textAlignment w:val="auto"/>
        <w:rPr>
          <w:rFonts w:hint="eastAsia" w:ascii="仿宋" w:hAnsi="仿宋" w:eastAsia="仿宋" w:cs="仿宋"/>
          <w:b/>
          <w:color w:val="auto"/>
          <w:sz w:val="32"/>
          <w:szCs w:val="32"/>
          <w:shd w:val="solid" w:color="FFFFFF" w:fill="FFFFFF"/>
          <w:lang w:bidi="ar-SA"/>
        </w:rPr>
      </w:pPr>
      <w:r>
        <w:rPr>
          <w:rFonts w:hint="default" w:ascii="Calibri" w:hAnsi="Calibri" w:eastAsia="仿宋" w:cs="Calibri"/>
          <w:b/>
          <w:color w:val="auto"/>
          <w:spacing w:val="-2"/>
          <w:sz w:val="32"/>
          <w:szCs w:val="32"/>
          <w:shd w:val="solid" w:color="FFFFFF" w:fill="FFFFFF"/>
          <w:lang w:val="en-US" w:eastAsia="zh-CN" w:bidi="ar-SA"/>
        </w:rPr>
        <w:t>①</w:t>
      </w:r>
      <w:r>
        <w:rPr>
          <w:rFonts w:hint="eastAsia" w:ascii="仿宋" w:hAnsi="仿宋" w:eastAsia="仿宋" w:cs="仿宋"/>
          <w:b/>
          <w:color w:val="auto"/>
          <w:spacing w:val="-2"/>
          <w:sz w:val="32"/>
          <w:szCs w:val="32"/>
          <w:shd w:val="solid" w:color="FFFFFF" w:fill="FFFFFF"/>
          <w:lang w:val="en-US" w:eastAsia="zh-CN" w:bidi="ar-SA"/>
        </w:rPr>
        <w:t>.</w:t>
      </w:r>
      <w:r>
        <w:rPr>
          <w:rFonts w:hint="eastAsia" w:ascii="仿宋" w:hAnsi="仿宋" w:eastAsia="仿宋" w:cs="仿宋"/>
          <w:b/>
          <w:color w:val="auto"/>
          <w:spacing w:val="-2"/>
          <w:sz w:val="32"/>
          <w:szCs w:val="32"/>
          <w:shd w:val="solid" w:color="FFFFFF" w:fill="FFFFFF"/>
          <w:lang w:bidi="ar-SA"/>
        </w:rPr>
        <w:t>公务用车购置及运行维护费支出</w:t>
      </w:r>
      <w:r>
        <w:rPr>
          <w:rFonts w:hint="eastAsia" w:ascii="仿宋" w:hAnsi="仿宋" w:eastAsia="仿宋" w:cs="仿宋"/>
          <w:color w:val="auto"/>
          <w:spacing w:val="-2"/>
          <w:sz w:val="32"/>
          <w:szCs w:val="32"/>
          <w:shd w:val="solid" w:color="FFFFFF" w:fill="FFFFFF"/>
          <w:lang w:val="en-US" w:eastAsia="zh-CN" w:bidi="ar-SA"/>
        </w:rPr>
        <w:t>163.41万元</w:t>
      </w:r>
      <w:r>
        <w:rPr>
          <w:rFonts w:hint="eastAsia" w:ascii="仿宋" w:hAnsi="仿宋" w:eastAsia="仿宋" w:cs="仿宋"/>
          <w:b/>
          <w:color w:val="auto"/>
          <w:spacing w:val="-2"/>
          <w:sz w:val="32"/>
          <w:szCs w:val="32"/>
          <w:shd w:val="solid" w:color="FFFFFF" w:fill="FFFFFF"/>
          <w:lang w:bidi="ar-SA"/>
        </w:rPr>
        <w:t>，其中：</w:t>
      </w:r>
      <w:r>
        <w:rPr>
          <w:rFonts w:hint="eastAsia" w:ascii="仿宋" w:hAnsi="仿宋" w:eastAsia="仿宋" w:cs="仿宋"/>
          <w:color w:val="auto"/>
          <w:spacing w:val="-2"/>
          <w:sz w:val="32"/>
          <w:szCs w:val="32"/>
          <w:shd w:val="solid" w:color="FFFFFF" w:fill="FFFFFF"/>
          <w:lang w:bidi="ar-SA"/>
        </w:rPr>
        <w:t>公务用车购置</w:t>
      </w:r>
      <w:r>
        <w:rPr>
          <w:rFonts w:hint="eastAsia" w:ascii="仿宋" w:hAnsi="仿宋" w:eastAsia="仿宋" w:cs="仿宋"/>
          <w:color w:val="auto"/>
          <w:spacing w:val="-2"/>
          <w:sz w:val="32"/>
          <w:szCs w:val="32"/>
          <w:shd w:val="solid" w:color="FFFFFF" w:fill="FFFFFF"/>
          <w:lang w:eastAsia="zh-CN" w:bidi="ar-SA"/>
        </w:rPr>
        <w:t>支出</w:t>
      </w:r>
      <w:r>
        <w:rPr>
          <w:rFonts w:hint="eastAsia" w:ascii="仿宋" w:hAnsi="仿宋" w:eastAsia="仿宋" w:cs="仿宋"/>
          <w:color w:val="auto"/>
          <w:spacing w:val="-2"/>
          <w:sz w:val="32"/>
          <w:szCs w:val="32"/>
          <w:shd w:val="solid" w:color="FFFFFF" w:fill="FFFFFF"/>
          <w:lang w:val="en-US" w:eastAsia="zh-CN" w:bidi="ar-SA"/>
        </w:rPr>
        <w:t>66.19万</w:t>
      </w:r>
      <w:r>
        <w:rPr>
          <w:rFonts w:hint="eastAsia" w:ascii="仿宋" w:hAnsi="仿宋" w:eastAsia="仿宋" w:cs="仿宋"/>
          <w:color w:val="auto"/>
          <w:spacing w:val="-2"/>
          <w:sz w:val="32"/>
          <w:szCs w:val="32"/>
          <w:shd w:val="solid" w:color="FFFFFF" w:fill="FFFFFF"/>
          <w:lang w:bidi="ar-SA"/>
        </w:rPr>
        <w:t>元；公务用车运行维护费为</w:t>
      </w:r>
      <w:r>
        <w:rPr>
          <w:rFonts w:hint="eastAsia" w:ascii="仿宋" w:hAnsi="仿宋" w:eastAsia="仿宋" w:cs="仿宋"/>
          <w:color w:val="auto"/>
          <w:spacing w:val="-2"/>
          <w:sz w:val="32"/>
          <w:szCs w:val="32"/>
          <w:shd w:val="solid" w:color="FFFFFF" w:fill="FFFFFF"/>
          <w:lang w:val="en-US" w:eastAsia="zh-CN" w:bidi="ar-SA"/>
        </w:rPr>
        <w:t>97.22万</w:t>
      </w:r>
      <w:r>
        <w:rPr>
          <w:rFonts w:hint="eastAsia" w:ascii="仿宋" w:hAnsi="仿宋" w:eastAsia="仿宋" w:cs="仿宋"/>
          <w:color w:val="auto"/>
          <w:spacing w:val="-2"/>
          <w:sz w:val="32"/>
          <w:szCs w:val="32"/>
          <w:shd w:val="solid" w:color="FFFFFF" w:fill="FFFFFF"/>
          <w:lang w:bidi="ar-SA"/>
        </w:rPr>
        <w:t>元。</w:t>
      </w:r>
      <w:r>
        <w:rPr>
          <w:rFonts w:hint="eastAsia" w:ascii="仿宋" w:hAnsi="仿宋" w:eastAsia="仿宋" w:cs="仿宋"/>
          <w:color w:val="auto"/>
          <w:spacing w:val="-2"/>
          <w:sz w:val="32"/>
          <w:szCs w:val="32"/>
          <w:shd w:val="solid" w:color="FFFFFF" w:fill="FFFFFF"/>
          <w:lang w:eastAsia="zh-CN" w:bidi="ar-SA"/>
        </w:rPr>
        <w:t>比上年增加</w:t>
      </w:r>
      <w:r>
        <w:rPr>
          <w:rFonts w:hint="eastAsia" w:ascii="仿宋" w:hAnsi="仿宋" w:eastAsia="仿宋" w:cs="仿宋"/>
          <w:color w:val="auto"/>
          <w:spacing w:val="-2"/>
          <w:sz w:val="32"/>
          <w:szCs w:val="32"/>
          <w:shd w:val="solid" w:color="FFFFFF" w:fill="FFFFFF"/>
          <w:lang w:val="en-US" w:eastAsia="zh-CN" w:bidi="ar-SA"/>
        </w:rPr>
        <w:t>9.18万元，增加5.95%。</w:t>
      </w:r>
      <w:r>
        <w:rPr>
          <w:rFonts w:hint="eastAsia" w:ascii="仿宋" w:hAnsi="仿宋" w:eastAsia="仿宋" w:cs="仿宋"/>
          <w:color w:val="auto"/>
          <w:spacing w:val="-2"/>
          <w:sz w:val="32"/>
          <w:szCs w:val="32"/>
          <w:shd w:val="solid" w:color="FFFFFF" w:fill="FFFFFF"/>
          <w:lang w:bidi="ar-SA"/>
        </w:rPr>
        <w:t>公务用车购置及运行维护费支出增加的原因为</w:t>
      </w:r>
      <w:r>
        <w:rPr>
          <w:rFonts w:hint="eastAsia" w:ascii="仿宋" w:hAnsi="仿宋" w:eastAsia="仿宋" w:cs="仿宋"/>
          <w:color w:val="auto"/>
          <w:spacing w:val="-2"/>
          <w:sz w:val="32"/>
          <w:szCs w:val="32"/>
          <w:shd w:val="solid" w:color="FFFFFF" w:fill="FFFFFF"/>
          <w:lang w:eastAsia="zh-CN" w:bidi="ar-SA"/>
        </w:rPr>
        <w:t>更新公务用车</w:t>
      </w:r>
      <w:r>
        <w:rPr>
          <w:rFonts w:hint="eastAsia" w:ascii="仿宋" w:hAnsi="仿宋" w:eastAsia="仿宋" w:cs="仿宋"/>
          <w:color w:val="auto"/>
          <w:spacing w:val="-2"/>
          <w:sz w:val="32"/>
          <w:szCs w:val="32"/>
          <w:shd w:val="solid" w:color="FFFFFF" w:fill="FFFFFF"/>
          <w:lang w:val="en-US" w:eastAsia="zh-CN" w:bidi="ar-SA"/>
        </w:rPr>
        <w:t>1辆、从林业和草原局调拨消防供水车1辆</w:t>
      </w:r>
      <w:r>
        <w:rPr>
          <w:rFonts w:hint="eastAsia" w:ascii="仿宋" w:hAnsi="仿宋" w:eastAsia="仿宋" w:cs="仿宋"/>
          <w:color w:val="auto"/>
          <w:spacing w:val="-2"/>
          <w:sz w:val="32"/>
          <w:szCs w:val="32"/>
          <w:shd w:val="solid" w:color="FFFFFF" w:fill="FFFFFF"/>
          <w:lang w:bidi="ar-SA"/>
        </w:rPr>
        <w:t>。</w:t>
      </w:r>
    </w:p>
    <w:p>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auto"/>
          <w:spacing w:val="-2"/>
          <w:sz w:val="32"/>
          <w:szCs w:val="32"/>
          <w:shd w:val="solid" w:color="FFFFFF" w:fill="FFFFFF"/>
          <w:lang w:bidi="ar-SA"/>
        </w:rPr>
      </w:pPr>
      <w:r>
        <w:rPr>
          <w:rFonts w:hint="eastAsia" w:ascii="仿宋" w:hAnsi="仿宋" w:eastAsia="仿宋" w:cs="仿宋"/>
          <w:color w:val="auto"/>
          <w:sz w:val="32"/>
          <w:szCs w:val="32"/>
          <w:shd w:val="solid" w:color="FFFFFF" w:fill="FFFFFF"/>
          <w:lang w:bidi="ar-SA"/>
        </w:rPr>
        <w:t>截至202</w:t>
      </w:r>
      <w:r>
        <w:rPr>
          <w:rFonts w:hint="eastAsia" w:ascii="仿宋" w:hAnsi="仿宋" w:eastAsia="仿宋" w:cs="仿宋"/>
          <w:color w:val="auto"/>
          <w:sz w:val="32"/>
          <w:szCs w:val="32"/>
          <w:shd w:val="solid" w:color="FFFFFF" w:fill="FFFFFF"/>
          <w:lang w:val="en-US" w:eastAsia="zh-CN" w:bidi="ar-SA"/>
        </w:rPr>
        <w:t>1</w:t>
      </w:r>
      <w:r>
        <w:rPr>
          <w:rFonts w:hint="eastAsia" w:ascii="仿宋" w:hAnsi="仿宋" w:eastAsia="仿宋" w:cs="仿宋"/>
          <w:color w:val="auto"/>
          <w:sz w:val="32"/>
          <w:szCs w:val="32"/>
          <w:shd w:val="solid" w:color="FFFFFF" w:fill="FFFFFF"/>
          <w:lang w:bidi="ar-SA"/>
        </w:rPr>
        <w:t>年12月底，管理局共有公务用车</w:t>
      </w:r>
      <w:r>
        <w:rPr>
          <w:rFonts w:hint="eastAsia" w:ascii="仿宋" w:hAnsi="仿宋" w:eastAsia="仿宋" w:cs="仿宋"/>
          <w:color w:val="auto"/>
          <w:sz w:val="32"/>
          <w:szCs w:val="32"/>
          <w:shd w:val="solid" w:color="FFFFFF" w:fill="FFFFFF"/>
          <w:lang w:val="en-US" w:eastAsia="zh-CN" w:bidi="ar-SA"/>
        </w:rPr>
        <w:t>20</w:t>
      </w:r>
      <w:r>
        <w:rPr>
          <w:rFonts w:hint="eastAsia" w:ascii="仿宋" w:hAnsi="仿宋" w:eastAsia="仿宋" w:cs="仿宋"/>
          <w:color w:val="auto"/>
          <w:sz w:val="32"/>
          <w:szCs w:val="32"/>
          <w:shd w:val="solid" w:color="FFFFFF" w:fill="FFFFFF"/>
          <w:lang w:bidi="ar-SA"/>
        </w:rPr>
        <w:t>辆</w:t>
      </w:r>
      <w:r>
        <w:rPr>
          <w:rFonts w:hint="eastAsia" w:ascii="仿宋" w:hAnsi="仿宋" w:eastAsia="仿宋" w:cs="仿宋"/>
          <w:color w:val="auto"/>
          <w:sz w:val="32"/>
          <w:szCs w:val="32"/>
          <w:shd w:val="solid" w:color="FFFFFF" w:fill="FFFFFF"/>
          <w:lang w:eastAsia="zh-CN" w:bidi="ar-SA"/>
        </w:rPr>
        <w:t>。</w:t>
      </w:r>
      <w:r>
        <w:rPr>
          <w:rFonts w:hint="eastAsia" w:ascii="仿宋" w:hAnsi="仿宋" w:eastAsia="仿宋" w:cs="仿宋"/>
          <w:color w:val="auto"/>
          <w:spacing w:val="-2"/>
          <w:sz w:val="32"/>
          <w:szCs w:val="32"/>
          <w:shd w:val="solid" w:color="FFFFFF" w:fill="FFFFFF"/>
          <w:lang w:bidi="ar-SA"/>
        </w:rPr>
        <w:t>公务用车运行维护费支出，主要用于管理局执行公务活动、开展业务活动等所需的公务用车燃料费、维修费、过路过桥费、保险费等支出。</w:t>
      </w:r>
    </w:p>
    <w:p>
      <w:pPr>
        <w:keepNext w:val="0"/>
        <w:keepLines w:val="0"/>
        <w:pageBreakBefore w:val="0"/>
        <w:widowControl w:val="0"/>
        <w:kinsoku/>
        <w:wordWrap/>
        <w:overflowPunct/>
        <w:topLinePunct w:val="0"/>
        <w:autoSpaceDE/>
        <w:autoSpaceDN/>
        <w:bidi w:val="0"/>
        <w:snapToGrid w:val="0"/>
        <w:spacing w:line="480" w:lineRule="exact"/>
        <w:ind w:firstLine="635" w:firstLineChars="200"/>
        <w:textAlignment w:val="auto"/>
        <w:rPr>
          <w:rFonts w:hint="eastAsia" w:ascii="仿宋" w:hAnsi="仿宋" w:eastAsia="仿宋" w:cs="仿宋"/>
          <w:color w:val="auto"/>
          <w:spacing w:val="-2"/>
          <w:sz w:val="32"/>
          <w:szCs w:val="32"/>
          <w:shd w:val="solid" w:color="FFFFFF" w:fill="FFFFFF"/>
          <w:lang w:val="en-US" w:eastAsia="zh-CN" w:bidi="ar-SA"/>
        </w:rPr>
      </w:pPr>
      <w:r>
        <w:rPr>
          <w:rFonts w:hint="default" w:ascii="Calibri" w:hAnsi="Calibri" w:eastAsia="仿宋" w:cs="Calibri"/>
          <w:b/>
          <w:color w:val="auto"/>
          <w:spacing w:val="-2"/>
          <w:sz w:val="32"/>
          <w:szCs w:val="32"/>
          <w:shd w:val="solid" w:color="FFFFFF" w:fill="FFFFFF"/>
          <w:lang w:val="en-US" w:eastAsia="zh-CN" w:bidi="ar-SA"/>
        </w:rPr>
        <w:t>②</w:t>
      </w:r>
      <w:r>
        <w:rPr>
          <w:rFonts w:hint="eastAsia" w:ascii="仿宋" w:hAnsi="仿宋" w:eastAsia="仿宋" w:cs="仿宋"/>
          <w:b/>
          <w:color w:val="auto"/>
          <w:spacing w:val="-2"/>
          <w:sz w:val="32"/>
          <w:szCs w:val="32"/>
          <w:shd w:val="solid" w:color="FFFFFF" w:fill="FFFFFF"/>
          <w:lang w:val="en-US" w:eastAsia="zh-CN" w:bidi="ar-SA"/>
        </w:rPr>
        <w:t>.</w:t>
      </w:r>
      <w:r>
        <w:rPr>
          <w:rFonts w:hint="eastAsia" w:ascii="仿宋" w:hAnsi="仿宋" w:eastAsia="仿宋" w:cs="仿宋"/>
          <w:b/>
          <w:color w:val="auto"/>
          <w:spacing w:val="-2"/>
          <w:sz w:val="32"/>
          <w:szCs w:val="32"/>
          <w:shd w:val="solid" w:color="FFFFFF" w:fill="FFFFFF"/>
          <w:lang w:bidi="ar-SA"/>
        </w:rPr>
        <w:t>公务接待费支出</w:t>
      </w:r>
      <w:r>
        <w:rPr>
          <w:rFonts w:hint="eastAsia" w:ascii="仿宋" w:hAnsi="仿宋" w:eastAsia="仿宋" w:cs="仿宋"/>
          <w:color w:val="auto"/>
          <w:spacing w:val="-2"/>
          <w:sz w:val="32"/>
          <w:szCs w:val="32"/>
          <w:shd w:val="solid" w:color="FFFFFF" w:fill="FFFFFF"/>
          <w:lang w:val="en-US" w:eastAsia="zh-CN" w:bidi="ar-SA"/>
        </w:rPr>
        <w:t>47.54万</w:t>
      </w:r>
      <w:r>
        <w:rPr>
          <w:rFonts w:hint="eastAsia" w:ascii="仿宋" w:hAnsi="仿宋" w:eastAsia="仿宋" w:cs="仿宋"/>
          <w:color w:val="auto"/>
          <w:spacing w:val="-2"/>
          <w:sz w:val="32"/>
          <w:szCs w:val="32"/>
          <w:shd w:val="solid" w:color="FFFFFF" w:fill="FFFFFF"/>
          <w:lang w:bidi="ar-SA"/>
        </w:rPr>
        <w:t>元，无外事接待支出，全部为国内接待支出。公务接待费支出比</w:t>
      </w:r>
      <w:r>
        <w:rPr>
          <w:rFonts w:hint="eastAsia" w:ascii="仿宋" w:hAnsi="仿宋" w:eastAsia="仿宋" w:cs="仿宋"/>
          <w:color w:val="auto"/>
          <w:spacing w:val="-2"/>
          <w:sz w:val="32"/>
          <w:szCs w:val="32"/>
          <w:shd w:val="solid" w:color="FFFFFF" w:fill="FFFFFF"/>
          <w:lang w:val="en-US" w:eastAsia="zh-CN" w:bidi="ar-SA"/>
        </w:rPr>
        <w:t>2020</w:t>
      </w:r>
      <w:r>
        <w:rPr>
          <w:rFonts w:hint="eastAsia" w:ascii="仿宋" w:hAnsi="仿宋" w:eastAsia="仿宋" w:cs="仿宋"/>
          <w:color w:val="auto"/>
          <w:spacing w:val="-2"/>
          <w:sz w:val="32"/>
          <w:szCs w:val="32"/>
          <w:shd w:val="solid" w:color="FFFFFF" w:fill="FFFFFF"/>
          <w:lang w:bidi="ar-SA"/>
        </w:rPr>
        <w:t>年</w:t>
      </w:r>
      <w:r>
        <w:rPr>
          <w:rFonts w:hint="eastAsia" w:ascii="仿宋" w:hAnsi="仿宋" w:eastAsia="仿宋" w:cs="仿宋"/>
          <w:color w:val="auto"/>
          <w:spacing w:val="-2"/>
          <w:sz w:val="32"/>
          <w:szCs w:val="32"/>
          <w:shd w:val="solid" w:color="FFFFFF" w:fill="FFFFFF"/>
          <w:lang w:val="en-US" w:eastAsia="zh-CN" w:bidi="ar-SA"/>
        </w:rPr>
        <w:t>增加6.39万</w:t>
      </w:r>
      <w:r>
        <w:rPr>
          <w:rFonts w:hint="eastAsia" w:ascii="仿宋" w:hAnsi="仿宋" w:eastAsia="仿宋" w:cs="仿宋"/>
          <w:color w:val="auto"/>
          <w:spacing w:val="-2"/>
          <w:sz w:val="32"/>
          <w:szCs w:val="32"/>
          <w:shd w:val="solid" w:color="FFFFFF" w:fill="FFFFFF"/>
          <w:lang w:bidi="ar-SA"/>
        </w:rPr>
        <w:t>元，</w:t>
      </w:r>
      <w:r>
        <w:rPr>
          <w:rFonts w:hint="eastAsia" w:ascii="仿宋" w:hAnsi="仿宋" w:eastAsia="仿宋" w:cs="仿宋"/>
          <w:color w:val="auto"/>
          <w:spacing w:val="-2"/>
          <w:sz w:val="32"/>
          <w:szCs w:val="32"/>
          <w:shd w:val="solid" w:color="FFFFFF" w:fill="FFFFFF"/>
          <w:lang w:val="en-US" w:eastAsia="zh-CN" w:bidi="ar-SA"/>
        </w:rPr>
        <w:t>增加了15.52</w:t>
      </w:r>
      <w:r>
        <w:rPr>
          <w:rFonts w:hint="eastAsia" w:ascii="仿宋" w:hAnsi="仿宋" w:eastAsia="仿宋" w:cs="仿宋"/>
          <w:color w:val="auto"/>
          <w:spacing w:val="-2"/>
          <w:sz w:val="32"/>
          <w:szCs w:val="32"/>
          <w:shd w:val="solid" w:color="FFFFFF" w:fill="FFFFFF"/>
          <w:lang w:bidi="ar-SA"/>
        </w:rPr>
        <w:t>%，主要原因是</w:t>
      </w:r>
      <w:r>
        <w:rPr>
          <w:rFonts w:hint="eastAsia" w:ascii="仿宋" w:hAnsi="仿宋" w:eastAsia="仿宋" w:cs="仿宋"/>
          <w:color w:val="auto"/>
          <w:spacing w:val="-2"/>
          <w:sz w:val="32"/>
          <w:szCs w:val="32"/>
          <w:shd w:val="solid" w:color="FFFFFF" w:fill="FFFFFF"/>
          <w:lang w:eastAsia="zh-CN" w:bidi="ar-SA"/>
        </w:rPr>
        <w:t>：景区</w:t>
      </w:r>
      <w:r>
        <w:rPr>
          <w:rFonts w:hint="eastAsia" w:ascii="仿宋" w:hAnsi="仿宋" w:eastAsia="仿宋" w:cs="仿宋"/>
          <w:color w:val="auto"/>
          <w:spacing w:val="-2"/>
          <w:sz w:val="32"/>
          <w:szCs w:val="32"/>
          <w:shd w:val="solid" w:color="FFFFFF" w:fill="FFFFFF"/>
          <w:lang w:bidi="ar-SA"/>
        </w:rPr>
        <w:t>以丰富游客体验度为手段，创新策划和举办“零度”音乐会、“ABA”综合格斗精英赛、“汽车穿越之旅”等主题营销活动10余个</w:t>
      </w:r>
      <w:r>
        <w:rPr>
          <w:rFonts w:hint="eastAsia" w:ascii="仿宋" w:hAnsi="仿宋" w:eastAsia="仿宋" w:cs="仿宋"/>
          <w:color w:val="auto"/>
          <w:spacing w:val="-2"/>
          <w:sz w:val="32"/>
          <w:szCs w:val="32"/>
          <w:shd w:val="solid" w:color="FFFFFF" w:fill="FFFFFF"/>
          <w:lang w:eastAsia="zh-CN" w:bidi="ar-SA"/>
        </w:rPr>
        <w:t>，同时</w:t>
      </w:r>
      <w:r>
        <w:rPr>
          <w:rFonts w:hint="eastAsia" w:ascii="仿宋" w:hAnsi="仿宋" w:eastAsia="仿宋" w:cs="仿宋"/>
          <w:color w:val="auto"/>
          <w:spacing w:val="-2"/>
          <w:sz w:val="32"/>
          <w:szCs w:val="32"/>
          <w:shd w:val="solid" w:color="FFFFFF" w:fill="FFFFFF"/>
          <w:lang w:bidi="ar-SA"/>
        </w:rPr>
        <w:t>通过“抖音”“小红书博主”等新型媒体和“旅游+网红”渠道、体验式营销等</w:t>
      </w:r>
      <w:r>
        <w:rPr>
          <w:rFonts w:hint="eastAsia" w:ascii="仿宋" w:hAnsi="仿宋" w:eastAsia="仿宋" w:cs="仿宋"/>
          <w:color w:val="auto"/>
          <w:spacing w:val="-2"/>
          <w:sz w:val="32"/>
          <w:szCs w:val="32"/>
          <w:shd w:val="solid" w:color="FFFFFF" w:fill="FFFFFF"/>
          <w:lang w:eastAsia="zh-CN" w:bidi="ar-SA"/>
        </w:rPr>
        <w:t>方式加大了宣传营销力度。</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ascii="仿宋_GB2312" w:cs="宋体"/>
          <w:b/>
          <w:bCs/>
          <w:color w:val="auto"/>
          <w:kern w:val="0"/>
          <w:sz w:val="32"/>
          <w:szCs w:val="32"/>
          <w:shd w:val="clear" w:color="auto" w:fill="FFFFFF"/>
          <w:lang w:val="zh-CN"/>
        </w:rPr>
      </w:pPr>
      <w:r>
        <w:rPr>
          <w:rFonts w:hint="eastAsia" w:ascii="仿宋_GB2312" w:cs="宋体"/>
          <w:b/>
          <w:bCs/>
          <w:color w:val="auto"/>
          <w:kern w:val="0"/>
          <w:sz w:val="32"/>
          <w:szCs w:val="32"/>
          <w:shd w:val="clear" w:color="auto" w:fill="FFFFFF"/>
          <w:lang w:val="zh-CN"/>
        </w:rPr>
        <w:t>（二）结果应用情况</w:t>
      </w:r>
    </w:p>
    <w:p>
      <w:pPr>
        <w:pStyle w:val="7"/>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480" w:lineRule="exact"/>
        <w:ind w:right="0" w:rightChars="0" w:firstLine="640" w:firstLineChars="200"/>
        <w:textAlignment w:val="auto"/>
        <w:rPr>
          <w:rFonts w:hint="eastAsia" w:ascii="仿宋" w:eastAsia="仿宋" w:cs="仿宋" w:hAnsiTheme="minorHAnsi"/>
          <w:color w:val="auto"/>
          <w:kern w:val="2"/>
          <w:sz w:val="32"/>
          <w:szCs w:val="32"/>
          <w:shd w:val="solid" w:color="FFFFFF" w:fill="FFFFFF"/>
          <w:lang w:val="en-US" w:eastAsia="zh-CN" w:bidi="ar-SA"/>
        </w:rPr>
      </w:pPr>
      <w:r>
        <w:rPr>
          <w:rFonts w:hint="eastAsia" w:ascii="仿宋" w:eastAsia="仿宋" w:cs="仿宋" w:hAnsiTheme="minorHAnsi"/>
          <w:color w:val="auto"/>
          <w:kern w:val="2"/>
          <w:sz w:val="32"/>
          <w:szCs w:val="32"/>
          <w:shd w:val="solid" w:color="FFFFFF" w:fill="FFFFFF"/>
          <w:lang w:val="en-US" w:eastAsia="zh-CN" w:bidi="ar-SA"/>
        </w:rPr>
        <w:t>1.绩效自评公开情况：严格按照相关要求，完成本单位整体支出绩效评价报告，并随同单位部门决算在州政府和单位官方网站一同公开。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rPr>
          <w:rFonts w:hint="eastAsia" w:ascii="仿宋" w:eastAsia="仿宋" w:cs="仿宋" w:hAnsiTheme="minorHAnsi"/>
          <w:color w:val="auto"/>
          <w:kern w:val="2"/>
          <w:sz w:val="32"/>
          <w:szCs w:val="32"/>
          <w:shd w:val="solid" w:color="FFFFFF" w:fill="FFFFFF"/>
          <w:lang w:val="en-US" w:eastAsia="zh-CN" w:bidi="ar-SA"/>
        </w:rPr>
      </w:pPr>
      <w:r>
        <w:rPr>
          <w:rFonts w:hint="eastAsia" w:ascii="仿宋" w:eastAsia="仿宋" w:cs="仿宋" w:hAnsiTheme="minorHAnsi"/>
          <w:color w:val="auto"/>
          <w:kern w:val="2"/>
          <w:sz w:val="32"/>
          <w:szCs w:val="32"/>
          <w:shd w:val="solid" w:color="FFFFFF" w:fill="FFFFFF"/>
          <w:lang w:val="en-US" w:eastAsia="zh-CN" w:bidi="ar-SA"/>
        </w:rPr>
        <w:t>2.评价结果整改情况：本单位对评价发现的问题，进行了专项清理，逐项整改。同时为切实加强本单位内部控制和会计基础工作规范，全面提高单位预算资金的使用效益，及时修订完善了相关内部控制制度，进一步规范了本单位财务工作日常管理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rPr>
          <w:rFonts w:hint="eastAsia" w:ascii="仿宋" w:eastAsia="仿宋" w:cs="仿宋" w:hAnsiTheme="minorHAnsi"/>
          <w:color w:val="auto"/>
          <w:kern w:val="2"/>
          <w:sz w:val="32"/>
          <w:szCs w:val="32"/>
          <w:shd w:val="solid" w:color="FFFFFF" w:fill="FFFFFF"/>
          <w:lang w:val="en-US" w:eastAsia="zh-CN" w:bidi="ar-SA"/>
        </w:rPr>
      </w:pPr>
      <w:r>
        <w:rPr>
          <w:rFonts w:hint="eastAsia" w:ascii="仿宋" w:eastAsia="仿宋" w:cs="仿宋" w:hAnsiTheme="minorHAnsi"/>
          <w:color w:val="auto"/>
          <w:kern w:val="2"/>
          <w:sz w:val="32"/>
          <w:szCs w:val="32"/>
          <w:shd w:val="solid" w:color="FFFFFF" w:fill="FFFFFF"/>
          <w:lang w:val="en-US" w:eastAsia="zh-CN" w:bidi="ar-SA"/>
        </w:rPr>
        <w:t>3.评价结果应用情况：通过开展绩效评价，一方面，实现绩效评价结果在部门预算编制和执行中的应用，实现绩效评价与部门预算的有机结合，使各部门逐步树立绩效理念，对预算绩效评价工作的态度逐渐由“被动接受”变为“主动实施”。主动把预算编制与部门发展规划和绩效目标联系起来，促使预算的编制更科学、更规范，使有限的财政资金发挥更大的效益。另一方面，通过开展绩效评价，找出项目管理中存在的问题及原因，促使预算部门积极采取措施，制定和健全相关管理制度，改进相应的管理方式，逐步形成自我约束、内部规范的良性机制，提高管理水平和资金使用效益。</w:t>
      </w:r>
    </w:p>
    <w:p>
      <w:pPr>
        <w:keepNext w:val="0"/>
        <w:keepLines w:val="0"/>
        <w:pageBreakBefore w:val="0"/>
        <w:widowControl/>
        <w:kinsoku/>
        <w:wordWrap/>
        <w:overflowPunct/>
        <w:topLinePunct w:val="0"/>
        <w:bidi w:val="0"/>
        <w:adjustRightInd w:val="0"/>
        <w:snapToGrid w:val="0"/>
        <w:spacing w:line="480" w:lineRule="exact"/>
        <w:ind w:firstLine="640" w:firstLineChars="200"/>
        <w:contextualSpacing/>
        <w:jc w:val="left"/>
        <w:textAlignment w:val="auto"/>
        <w:rPr>
          <w:rFonts w:ascii="黑体" w:eastAsia="黑体" w:cs="宋体"/>
          <w:color w:val="auto"/>
          <w:kern w:val="0"/>
          <w:sz w:val="32"/>
          <w:szCs w:val="32"/>
          <w:shd w:val="clear" w:color="auto" w:fill="FFFFFF"/>
        </w:rPr>
      </w:pPr>
      <w:r>
        <w:rPr>
          <w:rFonts w:hint="eastAsia" w:ascii="黑体" w:eastAsia="黑体" w:cs="宋体"/>
          <w:color w:val="auto"/>
          <w:kern w:val="0"/>
          <w:sz w:val="32"/>
          <w:szCs w:val="32"/>
          <w:shd w:val="clear" w:color="auto" w:fill="FFFFFF"/>
        </w:rPr>
        <w:t>四、评价结论及建议</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auto"/>
          <w:kern w:val="0"/>
          <w:sz w:val="32"/>
          <w:szCs w:val="32"/>
          <w:shd w:val="clear" w:color="auto" w:fill="FFFFFF"/>
          <w:lang w:val="zh-CN"/>
        </w:rPr>
      </w:pPr>
      <w:r>
        <w:rPr>
          <w:rFonts w:hint="eastAsia" w:ascii="仿宋_GB2312" w:cs="宋体"/>
          <w:b/>
          <w:bCs/>
          <w:color w:val="auto"/>
          <w:kern w:val="0"/>
          <w:sz w:val="32"/>
          <w:szCs w:val="32"/>
          <w:shd w:val="clear" w:color="auto" w:fill="FFFFFF"/>
          <w:lang w:val="zh-CN"/>
        </w:rPr>
        <w:t>（一）评价结论</w:t>
      </w:r>
    </w:p>
    <w:p>
      <w:pPr>
        <w:keepNext w:val="0"/>
        <w:keepLines w:val="0"/>
        <w:pageBreakBefore w:val="0"/>
        <w:kinsoku/>
        <w:wordWrap/>
        <w:overflowPunct/>
        <w:topLinePunct w:val="0"/>
        <w:autoSpaceDE/>
        <w:autoSpaceDN/>
        <w:bidi w:val="0"/>
        <w:adjustRightInd/>
        <w:snapToGrid/>
        <w:spacing w:beforeAutospacing="0" w:afterAutospacing="0" w:line="480" w:lineRule="exact"/>
        <w:ind w:right="0" w:rightChars="0" w:firstLine="640" w:firstLineChars="200"/>
        <w:textAlignment w:val="auto"/>
        <w:outlineLvl w:val="9"/>
        <w:rPr>
          <w:rFonts w:hint="eastAsia" w:ascii="仿宋_GB2312" w:cs="宋体"/>
          <w:color w:val="FF0000"/>
          <w:kern w:val="0"/>
          <w:sz w:val="32"/>
          <w:szCs w:val="32"/>
          <w:shd w:val="clear" w:color="auto" w:fill="FFFFFF"/>
          <w:lang w:val="zh-CN"/>
        </w:rPr>
      </w:pPr>
      <w:r>
        <w:rPr>
          <w:rFonts w:hint="eastAsia" w:ascii="仿宋" w:hAnsi="仿宋" w:eastAsia="仿宋" w:cs="仿宋"/>
          <w:i w:val="0"/>
          <w:caps w:val="0"/>
          <w:color w:val="auto"/>
          <w:spacing w:val="0"/>
          <w:sz w:val="32"/>
          <w:szCs w:val="32"/>
          <w:shd w:val="clear" w:fill="FFFFFF"/>
          <w:lang w:val="en-US" w:eastAsia="zh-CN"/>
        </w:rPr>
        <w:t>2021年，本单位部门预算编制基础数据真实可靠，按照年度工作计划和支出标准合理编制部门预算，严格执行“三公经费”预算管理，严格审批、无超预算、无预算执行的情况。圆满地完成了各项目标任务。本单位按照《</w:t>
      </w:r>
      <w:r>
        <w:rPr>
          <w:rFonts w:ascii="仿宋_GB2312" w:eastAsia="仿宋_GB2312" w:cs="仿宋_GB2312"/>
          <w:color w:val="000000"/>
          <w:sz w:val="31"/>
          <w:szCs w:val="31"/>
        </w:rPr>
        <w:t>阿州财监绩〔2022〕14号</w:t>
      </w:r>
      <w:r>
        <w:rPr>
          <w:rFonts w:hint="eastAsia" w:ascii="仿宋" w:hAnsi="仿宋" w:eastAsia="仿宋" w:cs="仿宋"/>
          <w:i w:val="0"/>
          <w:caps w:val="0"/>
          <w:color w:val="auto"/>
          <w:spacing w:val="0"/>
          <w:sz w:val="32"/>
          <w:szCs w:val="32"/>
          <w:shd w:val="clear" w:fill="FFFFFF"/>
          <w:lang w:val="en-US" w:eastAsia="zh-CN"/>
        </w:rPr>
        <w:t>》文件要求，秉承客观公正、实事求是的原则开展了单位自评工作，综合得分88.1分。</w:t>
      </w:r>
    </w:p>
    <w:p>
      <w:pPr>
        <w:keepNext w:val="0"/>
        <w:keepLines w:val="0"/>
        <w:pageBreakBefore w:val="0"/>
        <w:widowControl/>
        <w:numPr>
          <w:ilvl w:val="0"/>
          <w:numId w:val="0"/>
        </w:numPr>
        <w:kinsoku/>
        <w:wordWrap/>
        <w:overflowPunct/>
        <w:topLinePunct w:val="0"/>
        <w:bidi w:val="0"/>
        <w:adjustRightInd w:val="0"/>
        <w:snapToGrid w:val="0"/>
        <w:spacing w:line="480" w:lineRule="exact"/>
        <w:ind w:leftChars="200"/>
        <w:contextualSpacing/>
        <w:jc w:val="left"/>
        <w:textAlignment w:val="auto"/>
        <w:rPr>
          <w:rFonts w:hint="eastAsia" w:ascii="仿宋_GB2312" w:cs="宋体"/>
          <w:b/>
          <w:bCs/>
          <w:color w:val="auto"/>
          <w:kern w:val="0"/>
          <w:sz w:val="32"/>
          <w:szCs w:val="32"/>
          <w:shd w:val="clear" w:color="auto" w:fill="FFFFFF"/>
          <w:lang w:val="zh-CN"/>
        </w:rPr>
      </w:pPr>
      <w:r>
        <w:rPr>
          <w:rFonts w:hint="eastAsia" w:ascii="仿宋_GB2312" w:cs="宋体"/>
          <w:b/>
          <w:bCs/>
          <w:color w:val="auto"/>
          <w:kern w:val="0"/>
          <w:sz w:val="32"/>
          <w:szCs w:val="32"/>
          <w:shd w:val="clear" w:color="auto" w:fill="FFFFFF"/>
          <w:lang w:val="zh-CN"/>
        </w:rPr>
        <w:t>（</w:t>
      </w:r>
      <w:r>
        <w:rPr>
          <w:rFonts w:hint="eastAsia" w:ascii="仿宋_GB2312" w:cs="宋体"/>
          <w:b/>
          <w:bCs/>
          <w:color w:val="auto"/>
          <w:kern w:val="0"/>
          <w:sz w:val="32"/>
          <w:szCs w:val="32"/>
          <w:shd w:val="clear" w:color="auto" w:fill="FFFFFF"/>
          <w:lang w:val="en-US" w:eastAsia="zh-CN"/>
        </w:rPr>
        <w:t>二</w:t>
      </w:r>
      <w:r>
        <w:rPr>
          <w:rFonts w:hint="eastAsia" w:ascii="仿宋_GB2312" w:cs="宋体"/>
          <w:b/>
          <w:bCs/>
          <w:color w:val="auto"/>
          <w:kern w:val="0"/>
          <w:sz w:val="32"/>
          <w:szCs w:val="32"/>
          <w:shd w:val="clear" w:color="auto" w:fill="FFFFFF"/>
          <w:lang w:val="zh-CN"/>
        </w:rPr>
        <w:t>）存在问题</w:t>
      </w:r>
    </w:p>
    <w:p>
      <w:pPr>
        <w:pStyle w:val="6"/>
        <w:keepNext w:val="0"/>
        <w:keepLines w:val="0"/>
        <w:pageBreakBefore w:val="0"/>
        <w:widowControl/>
        <w:suppressLineNumbers w:val="0"/>
        <w:kinsoku/>
        <w:wordWrap/>
        <w:overflowPunct/>
        <w:topLinePunct w:val="0"/>
        <w:bidi w:val="0"/>
        <w:spacing w:line="480" w:lineRule="exact"/>
        <w:ind w:firstLine="960"/>
        <w:textAlignment w:val="auto"/>
        <w:rPr>
          <w:rFonts w:hint="eastAsia" w:ascii="仿宋" w:hAnsi="仿宋" w:eastAsia="仿宋" w:cs="仿宋"/>
          <w:color w:val="auto"/>
          <w:kern w:val="2"/>
          <w:sz w:val="30"/>
          <w:szCs w:val="30"/>
          <w:shd w:val="solid" w:color="FFFFFF" w:fill="FFFFFF"/>
          <w:lang w:val="en-US" w:eastAsia="zh-CN" w:bidi="ar-SA"/>
        </w:rPr>
      </w:pPr>
      <w:r>
        <w:rPr>
          <w:rFonts w:hint="eastAsia" w:ascii="仿宋" w:hAnsi="仿宋" w:eastAsia="仿宋" w:cs="仿宋"/>
          <w:color w:val="auto"/>
          <w:kern w:val="2"/>
          <w:sz w:val="30"/>
          <w:szCs w:val="30"/>
          <w:shd w:val="solid" w:color="FFFFFF" w:fill="FFFFFF"/>
          <w:lang w:val="en-US" w:eastAsia="zh-CN" w:bidi="ar-SA"/>
        </w:rPr>
        <w:t>1.制度建立不完善。 </w:t>
      </w:r>
    </w:p>
    <w:p>
      <w:pPr>
        <w:pStyle w:val="6"/>
        <w:keepNext w:val="0"/>
        <w:keepLines w:val="0"/>
        <w:pageBreakBefore w:val="0"/>
        <w:widowControl/>
        <w:suppressLineNumbers w:val="0"/>
        <w:kinsoku/>
        <w:wordWrap/>
        <w:overflowPunct/>
        <w:topLinePunct w:val="0"/>
        <w:bidi w:val="0"/>
        <w:spacing w:line="480" w:lineRule="exact"/>
        <w:ind w:firstLine="960"/>
        <w:textAlignment w:val="auto"/>
        <w:rPr>
          <w:rFonts w:hint="eastAsia" w:ascii="仿宋_GB2312" w:cs="宋体"/>
          <w:color w:val="FF0000"/>
          <w:kern w:val="0"/>
          <w:sz w:val="32"/>
          <w:szCs w:val="32"/>
          <w:shd w:val="clear" w:color="auto" w:fill="FFFFFF"/>
          <w:lang w:val="zh-CN"/>
        </w:rPr>
      </w:pPr>
      <w:r>
        <w:rPr>
          <w:rFonts w:hint="eastAsia" w:ascii="仿宋" w:hAnsi="仿宋" w:eastAsia="仿宋" w:cs="仿宋"/>
          <w:color w:val="auto"/>
          <w:kern w:val="2"/>
          <w:sz w:val="30"/>
          <w:szCs w:val="30"/>
          <w:shd w:val="solid" w:color="FFFFFF" w:fill="FFFFFF"/>
          <w:lang w:val="en-US" w:eastAsia="zh-CN" w:bidi="ar-SA"/>
        </w:rPr>
        <w:t>2.预算执行进度慢。 </w:t>
      </w:r>
      <w:r>
        <w:t>   </w:t>
      </w:r>
    </w:p>
    <w:p>
      <w:pPr>
        <w:keepNext w:val="0"/>
        <w:keepLines w:val="0"/>
        <w:pageBreakBefore w:val="0"/>
        <w:widowControl/>
        <w:kinsoku/>
        <w:wordWrap/>
        <w:overflowPunct/>
        <w:topLinePunct w:val="0"/>
        <w:bidi w:val="0"/>
        <w:adjustRightInd w:val="0"/>
        <w:snapToGrid w:val="0"/>
        <w:spacing w:line="480" w:lineRule="exact"/>
        <w:ind w:firstLine="643" w:firstLineChars="200"/>
        <w:contextualSpacing/>
        <w:jc w:val="left"/>
        <w:textAlignment w:val="auto"/>
        <w:rPr>
          <w:rFonts w:hint="eastAsia" w:ascii="仿宋_GB2312" w:cs="宋体"/>
          <w:b/>
          <w:bCs/>
          <w:color w:val="auto"/>
          <w:kern w:val="0"/>
          <w:sz w:val="32"/>
          <w:szCs w:val="32"/>
          <w:shd w:val="clear" w:color="auto" w:fill="FFFFFF"/>
          <w:lang w:val="zh-CN"/>
        </w:rPr>
      </w:pPr>
      <w:r>
        <w:rPr>
          <w:rFonts w:hint="eastAsia" w:ascii="仿宋_GB2312" w:cs="宋体"/>
          <w:b/>
          <w:bCs/>
          <w:color w:val="auto"/>
          <w:kern w:val="0"/>
          <w:sz w:val="32"/>
          <w:szCs w:val="32"/>
          <w:shd w:val="clear" w:color="auto" w:fill="FFFFFF"/>
          <w:lang w:val="zh-CN"/>
        </w:rPr>
        <w:t>（三）改进建议</w:t>
      </w:r>
    </w:p>
    <w:p>
      <w:pPr>
        <w:keepNext w:val="0"/>
        <w:keepLines w:val="0"/>
        <w:pageBreakBefore w:val="0"/>
        <w:kinsoku/>
        <w:wordWrap/>
        <w:overflowPunct/>
        <w:topLinePunct w:val="0"/>
        <w:autoSpaceDE/>
        <w:autoSpaceDN/>
        <w:bidi w:val="0"/>
        <w:adjustRightInd/>
        <w:snapToGrid/>
        <w:spacing w:beforeAutospacing="0" w:afterAutospacing="0" w:line="480" w:lineRule="exact"/>
        <w:ind w:right="0" w:rightChars="0" w:firstLine="640" w:firstLineChars="200"/>
        <w:textAlignment w:val="auto"/>
        <w:outlineLvl w:val="9"/>
        <w:rPr>
          <w:rFonts w:hint="eastAsia" w:ascii="仿宋" w:hAnsi="仿宋" w:eastAsia="仿宋" w:cs="仿宋"/>
          <w:i w:val="0"/>
          <w:caps w:val="0"/>
          <w:color w:val="auto"/>
          <w:spacing w:val="0"/>
          <w:sz w:val="32"/>
          <w:szCs w:val="32"/>
          <w:shd w:val="clear" w:fill="FFFFFF"/>
          <w:lang w:val="en-US" w:eastAsia="zh-CN"/>
        </w:rPr>
      </w:pPr>
      <w:r>
        <w:rPr>
          <w:rFonts w:hint="eastAsia" w:ascii="仿宋" w:hAnsi="仿宋" w:eastAsia="仿宋" w:cs="仿宋"/>
          <w:i w:val="0"/>
          <w:caps w:val="0"/>
          <w:color w:val="auto"/>
          <w:spacing w:val="0"/>
          <w:sz w:val="32"/>
          <w:szCs w:val="32"/>
          <w:shd w:val="clear" w:fill="FFFFFF"/>
          <w:lang w:val="en-US" w:eastAsia="zh-CN"/>
        </w:rPr>
        <w:t>1.完善制度，建立监督管理长效机制：为切实加强管理局内部控制和会计基础工作规范，全面提高预算资金的使用效益，进一步制定完善了单位内部会计管理制度共10余项，有效强化本单位内部控制和会计基础工作规范。</w:t>
      </w:r>
    </w:p>
    <w:p>
      <w:pPr>
        <w:keepNext w:val="0"/>
        <w:keepLines w:val="0"/>
        <w:pageBreakBefore w:val="0"/>
        <w:kinsoku/>
        <w:wordWrap/>
        <w:overflowPunct/>
        <w:topLinePunct w:val="0"/>
        <w:autoSpaceDE/>
        <w:autoSpaceDN/>
        <w:bidi w:val="0"/>
        <w:adjustRightInd/>
        <w:snapToGrid/>
        <w:spacing w:beforeAutospacing="0" w:afterAutospacing="0" w:line="480" w:lineRule="exact"/>
        <w:ind w:right="0" w:rightChars="0" w:firstLine="640" w:firstLineChars="200"/>
        <w:textAlignment w:val="auto"/>
        <w:outlineLvl w:val="9"/>
        <w:rPr>
          <w:rFonts w:hint="eastAsia" w:ascii="仿宋" w:hAnsi="仿宋" w:eastAsia="仿宋" w:cs="仿宋"/>
          <w:i w:val="0"/>
          <w:caps w:val="0"/>
          <w:color w:val="auto"/>
          <w:spacing w:val="0"/>
          <w:sz w:val="32"/>
          <w:szCs w:val="32"/>
          <w:shd w:val="clear" w:fill="FFFFFF"/>
          <w:lang w:val="en-US" w:eastAsia="zh-CN"/>
        </w:rPr>
      </w:pPr>
      <w:r>
        <w:rPr>
          <w:rFonts w:hint="eastAsia" w:ascii="仿宋" w:hAnsi="仿宋" w:eastAsia="仿宋" w:cs="仿宋"/>
          <w:i w:val="0"/>
          <w:caps w:val="0"/>
          <w:color w:val="auto"/>
          <w:spacing w:val="0"/>
          <w:sz w:val="32"/>
          <w:szCs w:val="32"/>
          <w:shd w:val="clear" w:fill="FFFFFF"/>
          <w:lang w:val="en-US" w:eastAsia="zh-CN"/>
        </w:rPr>
        <w:t>2.加大预算执行情况管理。以年初州财政下达的预算为依据，遵循实事求是、统筹兼顾、保障重点、厉行节约的原则，在年初及时将州财政下达的收支预算分解下达到各责任处室，同时，对年度预算执行进度进行不定期公布，及时提醒预算进度偏低的处室加大执行力度。不断完善事前计划、事中控制、事后总结反馈的财务管理体系。</w:t>
      </w:r>
    </w:p>
    <w:p>
      <w:pPr>
        <w:keepNext w:val="0"/>
        <w:keepLines w:val="0"/>
        <w:pageBreakBefore w:val="0"/>
        <w:kinsoku/>
        <w:wordWrap/>
        <w:overflowPunct/>
        <w:topLinePunct w:val="0"/>
        <w:autoSpaceDE/>
        <w:autoSpaceDN/>
        <w:bidi w:val="0"/>
        <w:adjustRightInd/>
        <w:snapToGrid/>
        <w:spacing w:beforeAutospacing="0" w:afterAutospacing="0" w:line="480" w:lineRule="exact"/>
        <w:ind w:right="0" w:rightChars="0" w:firstLine="640" w:firstLineChars="200"/>
        <w:textAlignment w:val="auto"/>
        <w:outlineLvl w:val="9"/>
        <w:rPr>
          <w:rFonts w:hint="eastAsia" w:ascii="仿宋" w:hAnsi="仿宋" w:eastAsia="仿宋" w:cs="仿宋"/>
          <w:i w:val="0"/>
          <w:caps w:val="0"/>
          <w:color w:val="auto"/>
          <w:spacing w:val="0"/>
          <w:sz w:val="32"/>
          <w:szCs w:val="32"/>
          <w:shd w:val="clear" w:fill="FFFFFF"/>
          <w:lang w:val="en-US" w:eastAsia="zh-CN"/>
        </w:rPr>
      </w:pPr>
    </w:p>
    <w:p>
      <w:pPr>
        <w:keepNext w:val="0"/>
        <w:keepLines w:val="0"/>
        <w:pageBreakBefore w:val="0"/>
        <w:numPr>
          <w:ilvl w:val="0"/>
          <w:numId w:val="0"/>
        </w:numPr>
        <w:kinsoku/>
        <w:wordWrap/>
        <w:overflowPunct/>
        <w:topLinePunct w:val="0"/>
        <w:bidi w:val="0"/>
        <w:spacing w:line="480" w:lineRule="exact"/>
        <w:jc w:val="both"/>
        <w:textAlignment w:val="auto"/>
        <w:outlineLvl w:val="0"/>
        <w:rPr>
          <w:rStyle w:val="12"/>
          <w:rFonts w:hint="eastAsia" w:ascii="黑体" w:hAnsi="黑体" w:eastAsia="黑体" w:cs="Times New Roman"/>
          <w:b w:val="0"/>
          <w:sz w:val="32"/>
          <w:szCs w:val="32"/>
          <w:lang w:val="en-US" w:eastAsia="zh-CN"/>
        </w:rPr>
      </w:pPr>
      <w:r>
        <w:rPr>
          <w:rStyle w:val="12"/>
          <w:rFonts w:hint="eastAsia" w:ascii="黑体" w:hAnsi="黑体" w:eastAsia="黑体" w:cs="Times New Roman"/>
          <w:b w:val="0"/>
          <w:sz w:val="32"/>
          <w:szCs w:val="32"/>
          <w:lang w:val="en-US" w:eastAsia="zh-CN"/>
        </w:rPr>
        <w:t>附件2</w:t>
      </w:r>
    </w:p>
    <w:p>
      <w:pPr>
        <w:pStyle w:val="2"/>
        <w:rPr>
          <w:rFonts w:hint="eastAsia"/>
          <w:lang w:val="en-US" w:eastAsia="zh-CN"/>
        </w:rPr>
      </w:pPr>
    </w:p>
    <w:p>
      <w:pPr>
        <w:keepNext w:val="0"/>
        <w:keepLines w:val="0"/>
        <w:widowControl w:val="0"/>
        <w:suppressLineNumbers w:val="0"/>
        <w:autoSpaceDE w:val="0"/>
        <w:autoSpaceDN/>
        <w:snapToGrid w:val="0"/>
        <w:spacing w:before="0" w:beforeAutospacing="0" w:after="0" w:afterAutospacing="0" w:line="600" w:lineRule="exact"/>
        <w:ind w:left="0" w:right="0"/>
        <w:jc w:val="center"/>
        <w:rPr>
          <w:rFonts w:hint="eastAsia" w:ascii="黑体" w:hAnsi="宋体" w:eastAsia="黑体" w:cs="黑体"/>
          <w:kern w:val="2"/>
          <w:sz w:val="44"/>
          <w:szCs w:val="44"/>
        </w:rPr>
      </w:pPr>
      <w:r>
        <w:rPr>
          <w:rFonts w:hint="eastAsia" w:ascii="黑体" w:hAnsi="宋体" w:eastAsia="黑体" w:cs="黑体"/>
          <w:kern w:val="2"/>
          <w:sz w:val="44"/>
          <w:szCs w:val="44"/>
          <w:lang w:val="en-US" w:eastAsia="zh-CN" w:bidi="ar"/>
        </w:rPr>
        <w:t>达古冰川管理局</w:t>
      </w:r>
    </w:p>
    <w:p>
      <w:pPr>
        <w:keepNext w:val="0"/>
        <w:keepLines w:val="0"/>
        <w:widowControl w:val="0"/>
        <w:suppressLineNumbers w:val="0"/>
        <w:autoSpaceDE w:val="0"/>
        <w:autoSpaceDN/>
        <w:snapToGrid w:val="0"/>
        <w:spacing w:before="0" w:beforeAutospacing="0" w:after="0" w:afterAutospacing="0" w:line="600" w:lineRule="exact"/>
        <w:ind w:left="0" w:right="0"/>
        <w:jc w:val="center"/>
        <w:rPr>
          <w:rFonts w:hint="eastAsia" w:ascii="黑体" w:hAnsi="宋体" w:eastAsia="黑体" w:cs="黑体"/>
          <w:kern w:val="2"/>
          <w:sz w:val="44"/>
          <w:szCs w:val="44"/>
        </w:rPr>
      </w:pPr>
      <w:r>
        <w:rPr>
          <w:rFonts w:hint="eastAsia" w:ascii="黑体" w:hAnsi="宋体" w:eastAsia="黑体" w:cs="黑体"/>
          <w:kern w:val="2"/>
          <w:sz w:val="44"/>
          <w:szCs w:val="44"/>
          <w:lang w:val="en-US" w:eastAsia="zh-CN" w:bidi="ar"/>
        </w:rPr>
        <w:t>国家生态旅游示范区创建项目自评报告</w:t>
      </w:r>
    </w:p>
    <w:p>
      <w:pPr>
        <w:pStyle w:val="7"/>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000000"/>
          <w:sz w:val="24"/>
          <w:szCs w:val="24"/>
        </w:rPr>
      </w:pPr>
      <w:r>
        <w:rPr>
          <w:rFonts w:hint="eastAsia" w:ascii="宋体" w:hAnsi="Calibri" w:eastAsia="宋体" w:cs="宋体"/>
          <w:color w:val="000000"/>
          <w:kern w:val="0"/>
          <w:sz w:val="24"/>
          <w:szCs w:val="2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eastAsia="仿宋_GB2312" w:cs="仿宋_GB2312"/>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为充分发挥我省富集的生态资源优势，培育新的旅游消费热点，推进生态文明建设，加快建设旅游经济强省和生态省重要战略目标，四川省第十一次党代会强调要以建设世界旅游目的地为抓手，推动成乐、成雅协同发展，攀西经济区要建成国家战略资源创新开发试验区和国际知名生态文化旅游目的地。示范区建设对贯彻落实生态文明思想具有重大的现实意义和深远的历史意义。</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1．项目主要内容：主要对示范区内的基础设施进行升级改造，使示范区的观光游览、科普教育、休闲度假等功能更加全面和完善，在保证游客量的同时提高生态旅游示范区知名度。</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left"/>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2．项目具体绩效目标：完善基础配套设施建设，形成生态旅游产品体系，创建生态旅游品牌；实现品牌辐射，成功创建国家生态旅游示范区，使达古冰川成为黑水乃至阿坝州的“金山银山”。</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3．该项目申报内容与实际相符，申报目标合理可行。</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楷体_GB2312"/>
          <w:b/>
          <w:bCs w:val="0"/>
          <w:kern w:val="2"/>
          <w:sz w:val="32"/>
          <w:szCs w:val="32"/>
          <w:lang w:val="en-US" w:eastAsia="zh-CN" w:bidi="ar"/>
        </w:rPr>
      </w:pPr>
      <w:r>
        <w:rPr>
          <w:rFonts w:hint="default" w:ascii="楷体_GB2312" w:hAnsi="宋体" w:eastAsia="楷体_GB2312" w:cs="楷体_GB2312"/>
          <w:b/>
          <w:bCs w:val="0"/>
          <w:kern w:val="2"/>
          <w:sz w:val="32"/>
          <w:szCs w:val="32"/>
          <w:lang w:val="en-US" w:eastAsia="zh-CN" w:bidi="ar"/>
        </w:rPr>
        <w:t>（三）项目自评步骤及方法</w:t>
      </w:r>
    </w:p>
    <w:p>
      <w:pPr>
        <w:pStyle w:val="2"/>
        <w:ind w:firstLine="640" w:firstLineChars="200"/>
        <w:rPr>
          <w:rFonts w:hint="default"/>
        </w:rPr>
      </w:pPr>
      <w:r>
        <w:rPr>
          <w:rFonts w:hint="eastAsia" w:ascii="仿宋_GB2312" w:hAnsi="宋体" w:eastAsia="仿宋_GB2312" w:cs="Times New Roman"/>
          <w:color w:val="auto"/>
          <w:kern w:val="2"/>
          <w:sz w:val="32"/>
          <w:szCs w:val="32"/>
          <w:lang w:val="en-US" w:eastAsia="zh-CN" w:bidi="ar-SA"/>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pStyle w:val="7"/>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default" w:ascii="仿宋_GB2312" w:hAnsi="宋体" w:eastAsia="仿宋_GB2312" w:cs="Times New Roman"/>
          <w:kern w:val="2"/>
          <w:sz w:val="32"/>
          <w:szCs w:val="32"/>
        </w:rPr>
      </w:pPr>
      <w:r>
        <w:rPr>
          <w:rFonts w:hint="default" w:ascii="仿宋_GB2312" w:hAnsi="宋体" w:eastAsia="仿宋_GB2312" w:cs="仿宋_GB2312"/>
          <w:color w:val="000000"/>
          <w:kern w:val="2"/>
          <w:sz w:val="32"/>
          <w:szCs w:val="32"/>
          <w:lang w:val="en-US" w:eastAsia="zh-CN" w:bidi="ar"/>
        </w:rPr>
        <w:t>项目资金于2020年申报及批复80万元，专项用于景区国家生态旅游示范区创建。</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该项目2020年到位资金80万元，实际支付637,600.00元，主要用于申报指导服务费。</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该项目严格按照本单位财务管理制度执行，严格执行财务管理制度进行支付，及时对账务处理，合理合规进行会计核算。</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numPr>
          <w:ilvl w:val="0"/>
          <w:numId w:val="6"/>
        </w:numPr>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Times New Roman"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项目组织架构及实施流程</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bidi="ar"/>
        </w:rPr>
        <w:t>项目于2020年5月采用竞争性磋商对达古冰川国家生态旅游示范区创建指导单位进行了公开招投标，确定成都景润九洲旅游规划设计有限公司为创建指导单位。</w:t>
      </w:r>
    </w:p>
    <w:p>
      <w:pPr>
        <w:keepNext w:val="0"/>
        <w:keepLines w:val="0"/>
        <w:widowControl w:val="0"/>
        <w:numPr>
          <w:ilvl w:val="0"/>
          <w:numId w:val="6"/>
        </w:numPr>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Times New Roman"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宋体" w:eastAsia="仿宋_GB2312" w:cs="仿宋_GB2312"/>
          <w:kern w:val="2"/>
          <w:sz w:val="32"/>
          <w:szCs w:val="32"/>
          <w:lang w:val="en-US" w:eastAsia="zh-CN" w:bidi="ar"/>
        </w:rPr>
        <w:t>本项目根据实际情况，制定有详细的《达古冰川创建</w:t>
      </w:r>
      <w:r>
        <w:rPr>
          <w:rFonts w:hint="default" w:ascii="仿宋_GB2312" w:hAnsi="Times New Roman" w:eastAsia="仿宋_GB2312" w:cs="仿宋_GB2312"/>
          <w:kern w:val="2"/>
          <w:sz w:val="32"/>
          <w:szCs w:val="32"/>
          <w:lang w:val="en-US" w:eastAsia="zh-CN" w:bidi="ar"/>
        </w:rPr>
        <w:t>国家生态旅游示范区</w:t>
      </w:r>
      <w:r>
        <w:rPr>
          <w:rFonts w:hint="default" w:ascii="仿宋_GB2312" w:hAnsi="宋体" w:eastAsia="仿宋_GB2312" w:cs="仿宋_GB2312"/>
          <w:kern w:val="2"/>
          <w:sz w:val="32"/>
          <w:szCs w:val="32"/>
          <w:lang w:val="en-US" w:eastAsia="zh-CN" w:bidi="ar"/>
        </w:rPr>
        <w:t>提升实施方案》，职责分工明确，有明确的工作程序，项目实施的基础条件可得到保障，获批后项目将按照既定方案，保质保量的完成各项目标任务。</w:t>
      </w:r>
    </w:p>
    <w:p>
      <w:pPr>
        <w:keepNext w:val="0"/>
        <w:keepLines w:val="0"/>
        <w:widowControl w:val="0"/>
        <w:numPr>
          <w:ilvl w:val="0"/>
          <w:numId w:val="6"/>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项目监管情况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Times New Roman" w:eastAsia="仿宋_GB2312" w:cs="仿宋_GB2312"/>
          <w:kern w:val="2"/>
          <w:sz w:val="32"/>
          <w:szCs w:val="32"/>
          <w:lang w:val="en-US" w:eastAsia="zh-CN" w:bidi="ar"/>
        </w:rPr>
        <w:t>在项目实施过程中责任处室派专人负责全程参与跟踪，确保项目实施。</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2020年对成都景润九洲旅游规划设计有限公司编制的《达古冰川国家生态旅游示范区总体规划（2021-2030年）》进行初审并形成了初稿。2021年已通过专家评审。同时前期创建工作已完成并上报四川省文旅厅，现因四川省文旅厅通知下文，创建工作暂缓，只能根据通知要求继续开展创建工作。</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adjustRightInd w:val="0"/>
        <w:snapToGrid w:val="0"/>
        <w:spacing w:before="0" w:beforeAutospacing="0" w:after="0" w:afterAutospacing="0" w:line="560" w:lineRule="exact"/>
        <w:ind w:left="0" w:right="0" w:firstLine="640" w:firstLineChars="200"/>
        <w:jc w:val="both"/>
        <w:rPr>
          <w:rFonts w:hint="default" w:ascii="宋体" w:hAnsi="宋体" w:eastAsia="仿宋_GB2312" w:cs="Times New Roman"/>
          <w:kern w:val="2"/>
          <w:sz w:val="32"/>
          <w:szCs w:val="32"/>
        </w:rPr>
      </w:pPr>
      <w:r>
        <w:rPr>
          <w:rFonts w:hint="default" w:ascii="仿宋_GB2312" w:hAnsi="Times New Roman" w:eastAsia="仿宋_GB2312" w:cs="仿宋_GB2312"/>
          <w:kern w:val="2"/>
          <w:sz w:val="32"/>
          <w:szCs w:val="32"/>
          <w:lang w:val="en-US" w:eastAsia="zh-CN" w:bidi="ar"/>
        </w:rPr>
        <w:t>创建国家级生态旅游示范区</w:t>
      </w:r>
      <w:r>
        <w:rPr>
          <w:rFonts w:hint="default" w:ascii="仿宋_GB2312" w:hAnsi="宋体" w:eastAsia="仿宋_GB2312" w:cs="仿宋_GB2312"/>
          <w:kern w:val="2"/>
          <w:sz w:val="32"/>
          <w:szCs w:val="32"/>
          <w:lang w:val="en-US" w:eastAsia="zh-CN" w:bidi="ar"/>
        </w:rPr>
        <w:t>对</w:t>
      </w:r>
      <w:r>
        <w:rPr>
          <w:rFonts w:hint="default" w:ascii="仿宋_GB2312" w:hAnsi="Times New Roman" w:eastAsia="仿宋_GB2312" w:cs="仿宋_GB2312"/>
          <w:kern w:val="2"/>
          <w:sz w:val="32"/>
          <w:szCs w:val="32"/>
          <w:lang w:val="en-US" w:eastAsia="zh-CN" w:bidi="ar"/>
        </w:rPr>
        <w:t>生态旅游发展具有较强的指导意义，对当地经济社会和环境保护协调发展，尤其是助推乡村振兴具有重要的促进作用。</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该项目因创建工作暂缓，自评得分86分。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pStyle w:val="7"/>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default" w:ascii="仿宋_GB2312" w:hAnsi="Times New Roman" w:eastAsia="仿宋_GB2312" w:cs="Times New Roman"/>
          <w:kern w:val="2"/>
          <w:sz w:val="32"/>
          <w:szCs w:val="32"/>
        </w:rPr>
      </w:pPr>
      <w:r>
        <w:rPr>
          <w:rFonts w:hint="default" w:ascii="仿宋_GB2312" w:hAnsi="Times New Roman" w:eastAsia="仿宋_GB2312" w:cs="仿宋_GB2312"/>
          <w:color w:val="000000"/>
          <w:kern w:val="2"/>
          <w:sz w:val="32"/>
          <w:szCs w:val="32"/>
          <w:lang w:val="en-US" w:eastAsia="zh-CN" w:bidi="ar"/>
        </w:rPr>
        <w:t>因省文旅厅通知创建工作暂缓，无法完成预期目标。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eastAsia" w:ascii="仿宋" w:hAnsi="仿宋" w:eastAsia="仿宋" w:cs="仿宋"/>
          <w:kern w:val="2"/>
          <w:sz w:val="32"/>
          <w:szCs w:val="32"/>
          <w:lang w:val="en-US" w:eastAsia="zh-CN" w:bidi="ar"/>
        </w:rPr>
        <w:t>积极主动联系四川省文旅厅相关部门，及时了解已上报的创建工作情况，加快跟进创建工作。</w:t>
      </w:r>
    </w:p>
    <w:p>
      <w:pPr>
        <w:keepNext w:val="0"/>
        <w:keepLines w:val="0"/>
        <w:widowControl w:val="0"/>
        <w:suppressLineNumbers w:val="0"/>
        <w:spacing w:before="0" w:beforeAutospacing="0" w:after="0" w:afterAutospacing="0"/>
        <w:ind w:left="0" w:right="0"/>
        <w:jc w:val="both"/>
        <w:rPr>
          <w:rFonts w:hint="eastAsia" w:ascii="仿宋" w:hAnsi="仿宋" w:eastAsia="仿宋" w:cs="仿宋"/>
          <w:i w:val="0"/>
          <w:caps w:val="0"/>
          <w:color w:val="auto"/>
          <w:spacing w:val="0"/>
          <w:sz w:val="32"/>
          <w:szCs w:val="32"/>
          <w:shd w:val="clear" w:fill="FFFFFF"/>
          <w:lang w:val="en-US" w:eastAsia="zh-CN"/>
        </w:rPr>
      </w:pPr>
      <w:r>
        <w:rPr>
          <w:rFonts w:hint="default" w:ascii="Times New Roman" w:hAnsi="Times New Roman" w:eastAsia="仿宋_GB2312" w:cs="Times New Roman"/>
          <w:kern w:val="2"/>
          <w:sz w:val="32"/>
          <w:szCs w:val="32"/>
          <w:lang w:val="en-US" w:eastAsia="zh-CN" w:bidi="ar"/>
        </w:rPr>
        <w:t xml:space="preserve"> </w:t>
      </w: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附件3</w:t>
      </w:r>
    </w:p>
    <w:p>
      <w:pPr>
        <w:keepNext w:val="0"/>
        <w:keepLines w:val="0"/>
        <w:widowControl w:val="0"/>
        <w:suppressLineNumbers w:val="0"/>
        <w:autoSpaceDE w:val="0"/>
        <w:autoSpaceDN/>
        <w:snapToGrid w:val="0"/>
        <w:spacing w:before="0" w:beforeAutospacing="0" w:after="0" w:afterAutospacing="0" w:line="600" w:lineRule="exact"/>
        <w:ind w:left="0" w:right="0"/>
        <w:jc w:val="center"/>
        <w:rPr>
          <w:rFonts w:hint="default" w:ascii="方正小标宋简体" w:hAnsi="宋体" w:eastAsia="方正小标宋简体" w:cs="Times New Roman"/>
          <w:kern w:val="2"/>
          <w:sz w:val="44"/>
          <w:szCs w:val="44"/>
        </w:rPr>
      </w:pPr>
      <w:r>
        <w:rPr>
          <w:rFonts w:hint="default" w:ascii="方正小标宋简体" w:hAnsi="方正小标宋简体" w:eastAsia="方正小标宋简体" w:cs="方正小标宋简体"/>
          <w:kern w:val="2"/>
          <w:sz w:val="44"/>
          <w:szCs w:val="44"/>
          <w:lang w:val="en-US" w:eastAsia="zh-CN" w:bidi="ar"/>
        </w:rPr>
        <w:t>达古冰川管理局</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default" w:ascii="方正小标宋简体" w:hAnsi="方正小标宋简体" w:eastAsia="方正小标宋简体" w:cs="方正小标宋简体"/>
          <w:color w:val="000000"/>
          <w:kern w:val="0"/>
          <w:sz w:val="44"/>
          <w:szCs w:val="44"/>
          <w:lang w:val="en-US" w:eastAsia="zh-CN" w:bidi="ar"/>
        </w:rPr>
        <w:t>供水管道维修项目</w:t>
      </w:r>
      <w:r>
        <w:rPr>
          <w:rFonts w:hint="eastAsia" w:ascii="黑体" w:hAnsi="宋体" w:eastAsia="黑体" w:cs="黑体"/>
          <w:color w:val="000000"/>
          <w:kern w:val="0"/>
          <w:sz w:val="44"/>
          <w:szCs w:val="44"/>
          <w:lang w:val="en-US" w:eastAsia="zh-CN" w:bidi="ar"/>
        </w:rPr>
        <w:t>支出绩效自评报告</w:t>
      </w:r>
    </w:p>
    <w:p>
      <w:pPr>
        <w:keepNext w:val="0"/>
        <w:keepLines w:val="0"/>
        <w:widowControl w:val="0"/>
        <w:suppressLineNumbers w:val="0"/>
        <w:autoSpaceDE w:val="0"/>
        <w:autoSpaceDN/>
        <w:snapToGrid w:val="0"/>
        <w:spacing w:before="0" w:beforeAutospacing="0" w:after="0" w:afterAutospacing="0" w:line="600" w:lineRule="exact"/>
        <w:ind w:left="0" w:right="0"/>
        <w:jc w:val="center"/>
        <w:rPr>
          <w:rFonts w:hint="default" w:ascii="方正小标宋简体" w:hAnsi="宋体" w:eastAsia="方正小标宋简体" w:cs="Times New Roman"/>
          <w:kern w:val="2"/>
          <w:sz w:val="44"/>
          <w:szCs w:val="44"/>
        </w:rPr>
      </w:pPr>
      <w:r>
        <w:rPr>
          <w:rFonts w:hint="default" w:ascii="方正小标宋简体" w:hAnsi="宋体" w:eastAsia="方正小标宋简体" w:cs="Times New Roman"/>
          <w:kern w:val="2"/>
          <w:sz w:val="44"/>
          <w:szCs w:val="4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snapToGrid w:val="0"/>
        <w:spacing w:before="0" w:beforeAutospacing="0" w:after="0" w:afterAutospacing="0" w:line="600" w:lineRule="exact"/>
        <w:ind w:left="0" w:right="0" w:firstLine="64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景区供水管道因使用年限长，管道老化，严重影响职工工作生活用水。项目经达古冰川管理局</w:t>
      </w:r>
      <w:r>
        <w:rPr>
          <w:rFonts w:hint="default" w:ascii="Times New Roman" w:hAnsi="Times New Roman" w:eastAsia="仿宋_GB2312" w:cs="Times New Roman"/>
          <w:kern w:val="2"/>
          <w:sz w:val="32"/>
          <w:szCs w:val="32"/>
          <w:lang w:val="en-US" w:eastAsia="zh-CN" w:bidi="ar"/>
        </w:rPr>
        <w:t>2021</w:t>
      </w:r>
      <w:r>
        <w:rPr>
          <w:rFonts w:hint="default" w:ascii="仿宋_GB2312" w:hAnsi="宋体" w:eastAsia="仿宋_GB2312" w:cs="仿宋_GB2312"/>
          <w:kern w:val="2"/>
          <w:sz w:val="32"/>
          <w:szCs w:val="32"/>
          <w:lang w:val="en-US" w:eastAsia="zh-CN" w:bidi="ar"/>
        </w:rPr>
        <w:t>度第</w:t>
      </w:r>
      <w:r>
        <w:rPr>
          <w:rFonts w:hint="default" w:ascii="Times New Roman" w:hAnsi="Times New Roman" w:eastAsia="仿宋_GB2312" w:cs="Times New Roman"/>
          <w:kern w:val="2"/>
          <w:sz w:val="32"/>
          <w:szCs w:val="32"/>
          <w:lang w:val="en-US" w:eastAsia="zh-CN" w:bidi="ar"/>
        </w:rPr>
        <w:t>6</w:t>
      </w:r>
      <w:r>
        <w:rPr>
          <w:rFonts w:hint="default" w:ascii="仿宋_GB2312" w:hAnsi="宋体" w:eastAsia="仿宋_GB2312" w:cs="仿宋_GB2312"/>
          <w:kern w:val="2"/>
          <w:sz w:val="32"/>
          <w:szCs w:val="32"/>
          <w:lang w:val="en-US" w:eastAsia="zh-CN" w:bidi="ar"/>
        </w:rPr>
        <w:t>次局务会、</w:t>
      </w:r>
      <w:r>
        <w:rPr>
          <w:rFonts w:hint="default" w:ascii="Times New Roman" w:hAnsi="Times New Roman" w:eastAsia="仿宋_GB2312" w:cs="Times New Roman"/>
          <w:kern w:val="2"/>
          <w:sz w:val="32"/>
          <w:szCs w:val="32"/>
          <w:lang w:val="en-US" w:eastAsia="zh-CN" w:bidi="ar"/>
        </w:rPr>
        <w:t>2021</w:t>
      </w:r>
      <w:r>
        <w:rPr>
          <w:rFonts w:hint="default" w:ascii="仿宋_GB2312" w:hAnsi="宋体" w:eastAsia="仿宋_GB2312" w:cs="仿宋_GB2312"/>
          <w:kern w:val="2"/>
          <w:sz w:val="32"/>
          <w:szCs w:val="32"/>
          <w:lang w:val="en-US" w:eastAsia="zh-CN" w:bidi="ar"/>
        </w:rPr>
        <w:t>年度第</w:t>
      </w:r>
      <w:r>
        <w:rPr>
          <w:rFonts w:hint="default" w:ascii="Times New Roman" w:hAnsi="Times New Roman" w:eastAsia="仿宋_GB2312" w:cs="Times New Roman"/>
          <w:kern w:val="2"/>
          <w:sz w:val="32"/>
          <w:szCs w:val="32"/>
          <w:lang w:val="en-US" w:eastAsia="zh-CN" w:bidi="ar"/>
        </w:rPr>
        <w:t>6</w:t>
      </w:r>
      <w:r>
        <w:rPr>
          <w:rFonts w:hint="default" w:ascii="仿宋_GB2312" w:hAnsi="宋体" w:eastAsia="仿宋_GB2312" w:cs="仿宋_GB2312"/>
          <w:kern w:val="2"/>
          <w:sz w:val="32"/>
          <w:szCs w:val="32"/>
          <w:lang w:val="en-US" w:eastAsia="zh-CN" w:bidi="ar"/>
        </w:rPr>
        <w:t>次党委会议定实施。</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1．项目主要内容。</w:t>
      </w:r>
      <w:r>
        <w:rPr>
          <w:rFonts w:hint="default" w:ascii="仿宋_GB2312" w:hAnsi="Times New Roman" w:eastAsia="仿宋_GB2312" w:cs="仿宋_GB2312"/>
          <w:kern w:val="2"/>
          <w:sz w:val="32"/>
          <w:szCs w:val="32"/>
          <w:lang w:val="en-US" w:eastAsia="zh-CN" w:bidi="ar"/>
        </w:rPr>
        <w:t>供水管保温维修和沿途加固，管道除锈、保温300米，新建支撑底座4处；供水管道电站弯道堡坎和出水口处加固，新建供水管道混凝土挡墙62m3，出水口加固30m（含工字钢20m和新购水管30m）；供水管闸阀 更换，更换150mm闸阀3个，更换压力表2个，2个闸阀井维修；供水泵房修建；给水处理车间维修，75mm供水管道维修10米，门窗墙面修复，大门安装1处；职工值班室至管理中心备用水管维修，更换200mmPE管80米（其中部分利旧），工字钢供水管桥20米；景区游客中心绿化供水系统维修，更换32mmPE管160米，更换25mmPE管332米；更换30个水喷头；景区备用停车场供水系统维修，更换63mmPE管180米等。</w:t>
      </w:r>
      <w:r>
        <w:rPr>
          <w:rFonts w:hint="default" w:ascii="仿宋_GB2312" w:hAnsi="宋体" w:eastAsia="仿宋_GB2312" w:cs="仿宋_GB2312"/>
          <w:kern w:val="2"/>
          <w:sz w:val="32"/>
          <w:szCs w:val="32"/>
          <w:lang w:val="en-US" w:eastAsia="zh-CN" w:bidi="ar"/>
        </w:rPr>
        <w:t>该申报内容与实际相符，申报目标合理可行。</w:t>
      </w:r>
    </w:p>
    <w:p>
      <w:pPr>
        <w:keepNext w:val="0"/>
        <w:keepLines w:val="0"/>
        <w:widowControl w:val="0"/>
        <w:numPr>
          <w:ilvl w:val="0"/>
          <w:numId w:val="7"/>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项目自评步骤及方法</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Times New Roman" w:eastAsia="仿宋_GB2312" w:cs="仿宋_GB2312"/>
          <w:color w:val="000000"/>
          <w:kern w:val="2"/>
          <w:sz w:val="32"/>
          <w:szCs w:val="32"/>
          <w:lang w:val="en-US" w:eastAsia="zh-CN" w:bidi="ar"/>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项目资金纳入</w:t>
      </w:r>
      <w:r>
        <w:rPr>
          <w:rFonts w:hint="default" w:ascii="Times New Roman" w:hAnsi="Times New Roman" w:eastAsia="仿宋_GB2312" w:cs="Times New Roman"/>
          <w:kern w:val="2"/>
          <w:sz w:val="32"/>
          <w:szCs w:val="32"/>
          <w:lang w:val="en-US" w:eastAsia="zh-CN" w:bidi="ar"/>
        </w:rPr>
        <w:t>2021</w:t>
      </w:r>
      <w:r>
        <w:rPr>
          <w:rFonts w:hint="default" w:ascii="仿宋_GB2312" w:hAnsi="宋体" w:eastAsia="仿宋_GB2312" w:cs="仿宋_GB2312"/>
          <w:kern w:val="2"/>
          <w:sz w:val="32"/>
          <w:szCs w:val="32"/>
          <w:lang w:val="en-US" w:eastAsia="zh-CN" w:bidi="ar"/>
        </w:rPr>
        <w:t>年部门预算，并由年初部门预算安排景区供水管道维修资金</w:t>
      </w:r>
      <w:r>
        <w:rPr>
          <w:rFonts w:hint="default" w:ascii="Times New Roman" w:hAnsi="Times New Roman" w:eastAsia="仿宋_GB2312" w:cs="Times New Roman"/>
          <w:kern w:val="2"/>
          <w:sz w:val="32"/>
          <w:szCs w:val="32"/>
          <w:lang w:val="en-US" w:eastAsia="zh-CN" w:bidi="ar"/>
        </w:rPr>
        <w:t>30</w:t>
      </w:r>
      <w:r>
        <w:rPr>
          <w:rFonts w:hint="default" w:ascii="仿宋_GB2312" w:hAnsi="宋体" w:eastAsia="仿宋_GB2312" w:cs="仿宋_GB2312"/>
          <w:kern w:val="2"/>
          <w:sz w:val="32"/>
          <w:szCs w:val="32"/>
          <w:lang w:val="en-US" w:eastAsia="zh-CN" w:bidi="ar"/>
        </w:rPr>
        <w:t>万元。</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kern w:val="2"/>
          <w:sz w:val="32"/>
          <w:szCs w:val="32"/>
          <w:lang w:val="en-US" w:eastAsia="zh-CN" w:bidi="ar"/>
        </w:rPr>
        <w:t>1．资金计划及到位。</w:t>
      </w:r>
      <w:r>
        <w:rPr>
          <w:rFonts w:hint="default" w:ascii="仿宋_GB2312" w:hAnsi="宋体" w:eastAsia="仿宋_GB2312" w:cs="仿宋_GB2312"/>
          <w:kern w:val="2"/>
          <w:sz w:val="32"/>
          <w:szCs w:val="32"/>
          <w:lang w:val="en-US" w:eastAsia="zh-CN" w:bidi="ar"/>
        </w:rPr>
        <w:t>景区供水管道维修项目由年初部门预算安排景区供水管道维修资金</w:t>
      </w:r>
      <w:r>
        <w:rPr>
          <w:rFonts w:hint="default" w:ascii="Times New Roman" w:hAnsi="Times New Roman" w:eastAsia="仿宋_GB2312" w:cs="Times New Roman"/>
          <w:kern w:val="2"/>
          <w:sz w:val="32"/>
          <w:szCs w:val="32"/>
          <w:lang w:val="en-US" w:eastAsia="zh-CN" w:bidi="ar"/>
        </w:rPr>
        <w:t>30</w:t>
      </w:r>
      <w:r>
        <w:rPr>
          <w:rFonts w:hint="default" w:ascii="仿宋_GB2312" w:hAnsi="宋体" w:eastAsia="仿宋_GB2312" w:cs="仿宋_GB2312"/>
          <w:kern w:val="2"/>
          <w:sz w:val="32"/>
          <w:szCs w:val="32"/>
          <w:lang w:val="en-US" w:eastAsia="zh-CN" w:bidi="ar"/>
        </w:rPr>
        <w:t>万元，到位</w:t>
      </w:r>
      <w:r>
        <w:rPr>
          <w:rFonts w:hint="default" w:ascii="Times New Roman" w:hAnsi="Times New Roman" w:eastAsia="仿宋_GB2312" w:cs="Times New Roman"/>
          <w:kern w:val="2"/>
          <w:sz w:val="32"/>
          <w:szCs w:val="32"/>
          <w:lang w:val="en-US" w:eastAsia="zh-CN" w:bidi="ar"/>
        </w:rPr>
        <w:t>30</w:t>
      </w:r>
      <w:r>
        <w:rPr>
          <w:rFonts w:hint="default" w:ascii="仿宋_GB2312" w:hAnsi="宋体" w:eastAsia="仿宋_GB2312" w:cs="仿宋_GB2312"/>
          <w:kern w:val="2"/>
          <w:sz w:val="32"/>
          <w:szCs w:val="32"/>
          <w:lang w:val="en-US" w:eastAsia="zh-CN" w:bidi="ar"/>
        </w:rPr>
        <w:t>万元，到位率</w:t>
      </w:r>
      <w:r>
        <w:rPr>
          <w:rFonts w:hint="default" w:ascii="Times New Roman" w:hAnsi="Times New Roman" w:eastAsia="仿宋_GB2312" w:cs="Times New Roman"/>
          <w:kern w:val="2"/>
          <w:sz w:val="32"/>
          <w:szCs w:val="32"/>
          <w:lang w:val="en-US" w:eastAsia="zh-CN" w:bidi="ar"/>
        </w:rPr>
        <w:t>100%</w:t>
      </w:r>
      <w:r>
        <w:rPr>
          <w:rFonts w:hint="default" w:ascii="仿宋_GB2312" w:hAnsi="宋体" w:eastAsia="仿宋_GB2312" w:cs="仿宋_GB2312"/>
          <w:kern w:val="2"/>
          <w:sz w:val="32"/>
          <w:szCs w:val="32"/>
          <w:lang w:val="en-US" w:eastAsia="zh-CN" w:bidi="ar"/>
        </w:rPr>
        <w:t>，资金到位及时。</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Times New Roman" w:hAnsi="宋体" w:eastAsia="仿宋_GB2312" w:cs="Times New Roman"/>
          <w:kern w:val="2"/>
          <w:sz w:val="32"/>
          <w:szCs w:val="32"/>
        </w:rPr>
      </w:pPr>
      <w:r>
        <w:rPr>
          <w:rFonts w:hint="default" w:ascii="楷体_GB2312" w:hAnsi="宋体" w:eastAsia="楷体_GB2312" w:cs="楷体_GB2312"/>
          <w:kern w:val="2"/>
          <w:sz w:val="32"/>
          <w:szCs w:val="32"/>
          <w:lang w:val="en-US" w:eastAsia="zh-CN" w:bidi="ar"/>
        </w:rPr>
        <w:t>2．资金使用。</w:t>
      </w:r>
      <w:r>
        <w:rPr>
          <w:rFonts w:hint="default" w:ascii="Times New Roman" w:hAnsi="Times New Roman" w:eastAsia="仿宋_GB2312" w:cs="Times New Roman"/>
          <w:kern w:val="2"/>
          <w:sz w:val="32"/>
          <w:szCs w:val="32"/>
          <w:lang w:val="en-US" w:eastAsia="zh-CN" w:bidi="ar"/>
        </w:rPr>
        <w:t>2021</w:t>
      </w:r>
      <w:r>
        <w:rPr>
          <w:rFonts w:hint="default" w:ascii="仿宋_GB2312" w:hAnsi="宋体" w:eastAsia="仿宋_GB2312" w:cs="仿宋_GB2312"/>
          <w:kern w:val="2"/>
          <w:sz w:val="32"/>
          <w:szCs w:val="32"/>
          <w:lang w:val="en-US" w:eastAsia="zh-CN" w:bidi="ar"/>
        </w:rPr>
        <w:t>年景区供水管道维修项目资金实际支出</w:t>
      </w:r>
      <w:r>
        <w:rPr>
          <w:rFonts w:hint="default" w:ascii="Times New Roman" w:hAnsi="Times New Roman" w:eastAsia="仿宋_GB2312" w:cs="Times New Roman"/>
          <w:kern w:val="2"/>
          <w:sz w:val="32"/>
          <w:szCs w:val="32"/>
          <w:lang w:val="en-US" w:eastAsia="zh-CN" w:bidi="ar"/>
        </w:rPr>
        <w:t>230,489.67</w:t>
      </w:r>
      <w:r>
        <w:rPr>
          <w:rFonts w:hint="default" w:ascii="仿宋_GB2312" w:hAnsi="宋体" w:eastAsia="仿宋_GB2312" w:cs="仿宋_GB2312"/>
          <w:kern w:val="2"/>
          <w:sz w:val="32"/>
          <w:szCs w:val="32"/>
          <w:lang w:val="en-US" w:eastAsia="zh-CN" w:bidi="ar"/>
        </w:rPr>
        <w:t>元，项目资金按工程完成进度支付到项目单位，支付依据合法合规。实施过程中水厂出口处未拆除、新建</w:t>
      </w:r>
      <w:r>
        <w:rPr>
          <w:rFonts w:hint="default" w:ascii="Times New Roman" w:hAnsi="Times New Roman" w:eastAsia="仿宋_GB2312" w:cs="Times New Roman"/>
          <w:kern w:val="2"/>
          <w:sz w:val="32"/>
          <w:szCs w:val="32"/>
          <w:lang w:val="en-US" w:eastAsia="zh-CN" w:bidi="ar"/>
        </w:rPr>
        <w:t>DN300</w:t>
      </w:r>
      <w:r>
        <w:rPr>
          <w:rFonts w:hint="default" w:ascii="仿宋_GB2312" w:hAnsi="宋体" w:eastAsia="仿宋_GB2312" w:cs="仿宋_GB2312"/>
          <w:kern w:val="2"/>
          <w:sz w:val="32"/>
          <w:szCs w:val="32"/>
          <w:lang w:val="en-US" w:eastAsia="zh-CN" w:bidi="ar"/>
        </w:rPr>
        <w:t>钢管</w:t>
      </w:r>
      <w:r>
        <w:rPr>
          <w:rFonts w:hint="default" w:ascii="Times New Roman" w:hAnsi="Times New Roman" w:eastAsia="仿宋_GB2312" w:cs="Times New Roman"/>
          <w:kern w:val="2"/>
          <w:sz w:val="32"/>
          <w:szCs w:val="32"/>
          <w:lang w:val="en-US" w:eastAsia="zh-CN" w:bidi="ar"/>
        </w:rPr>
        <w:t>30m</w:t>
      </w:r>
      <w:r>
        <w:rPr>
          <w:rFonts w:hint="default" w:ascii="仿宋_GB2312" w:hAnsi="宋体" w:eastAsia="仿宋_GB2312" w:cs="仿宋_GB2312"/>
          <w:kern w:val="2"/>
          <w:sz w:val="32"/>
          <w:szCs w:val="32"/>
          <w:lang w:val="en-US" w:eastAsia="zh-CN" w:bidi="ar"/>
        </w:rPr>
        <w:t>按照合同约定结算计价予以扣除。</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left"/>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项目资金严格按照单位财务管理制度规定使用，做到专项管理、专款专用。单位财务管理制度健全，账务处理及时，会计核算规范。</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numPr>
          <w:ilvl w:val="0"/>
          <w:numId w:val="8"/>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项目组织架构及实施流程</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楷体_GB2312" w:hAnsi="宋体" w:eastAsia="楷体_GB2312" w:cs="Times New Roman"/>
          <w:b/>
          <w:bCs w:val="0"/>
          <w:kern w:val="2"/>
          <w:sz w:val="32"/>
          <w:szCs w:val="32"/>
        </w:rPr>
      </w:pPr>
      <w:r>
        <w:rPr>
          <w:rFonts w:hint="default" w:ascii="仿宋_GB2312" w:hAnsi="宋体" w:eastAsia="仿宋_GB2312" w:cs="仿宋_GB2312"/>
          <w:kern w:val="2"/>
          <w:sz w:val="32"/>
          <w:szCs w:val="32"/>
          <w:lang w:val="en-US" w:eastAsia="zh-CN" w:bidi="ar"/>
        </w:rPr>
        <w:t>达古冰川景区供水管道维修项目由阿坝州财政局安排</w:t>
      </w:r>
      <w:r>
        <w:rPr>
          <w:rFonts w:hint="default" w:ascii="Times New Roman" w:hAnsi="Times New Roman" w:eastAsia="仿宋_GB2312" w:cs="Times New Roman"/>
          <w:kern w:val="2"/>
          <w:sz w:val="32"/>
          <w:szCs w:val="32"/>
          <w:lang w:val="en-US" w:eastAsia="zh-CN" w:bidi="ar"/>
        </w:rPr>
        <w:t>2021</w:t>
      </w:r>
      <w:r>
        <w:rPr>
          <w:rFonts w:hint="default" w:ascii="仿宋_GB2312" w:hAnsi="宋体" w:eastAsia="仿宋_GB2312" w:cs="仿宋_GB2312"/>
          <w:kern w:val="2"/>
          <w:sz w:val="32"/>
          <w:szCs w:val="32"/>
          <w:lang w:val="en-US" w:eastAsia="zh-CN" w:bidi="ar"/>
        </w:rPr>
        <w:t>年景区部门预算供水管道维修资金</w:t>
      </w:r>
      <w:r>
        <w:rPr>
          <w:rFonts w:hint="default" w:ascii="Times New Roman" w:hAnsi="Times New Roman" w:eastAsia="仿宋_GB2312" w:cs="Times New Roman"/>
          <w:kern w:val="2"/>
          <w:sz w:val="32"/>
          <w:szCs w:val="32"/>
          <w:lang w:val="en-US" w:eastAsia="zh-CN" w:bidi="ar"/>
        </w:rPr>
        <w:t>30</w:t>
      </w:r>
      <w:r>
        <w:rPr>
          <w:rFonts w:hint="default" w:ascii="仿宋_GB2312" w:hAnsi="宋体" w:eastAsia="仿宋_GB2312" w:cs="仿宋_GB2312"/>
          <w:kern w:val="2"/>
          <w:sz w:val="32"/>
          <w:szCs w:val="32"/>
          <w:lang w:val="en-US" w:eastAsia="zh-CN" w:bidi="ar"/>
        </w:rPr>
        <w:t>万元。根据单位采购内控管理制度，组成采购小组，通过单位官方网站对外征集意向供应商，并经现场比选确定项目施工单位。</w:t>
      </w:r>
    </w:p>
    <w:p>
      <w:pPr>
        <w:keepNext w:val="0"/>
        <w:keepLines w:val="0"/>
        <w:widowControl w:val="0"/>
        <w:numPr>
          <w:ilvl w:val="0"/>
          <w:numId w:val="8"/>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景区供水管道维修项目严格执行相关法律法规及项目管理制度等情况，单位规划建设处指定专人负责项目管理。</w:t>
      </w:r>
    </w:p>
    <w:p>
      <w:pPr>
        <w:keepNext w:val="0"/>
        <w:keepLines w:val="0"/>
        <w:widowControl w:val="0"/>
        <w:numPr>
          <w:ilvl w:val="0"/>
          <w:numId w:val="8"/>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项目监管情况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Times New Roman"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该项目在实施过程中责任处室派专人负责全程参与，严格按照项目主要内容进行维修，保证质量。</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left"/>
        <w:rPr>
          <w:rFonts w:hint="default" w:ascii="Times New Roman"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达古冰川景区供水管道维修项目实施后，供水系统良好运行，切实保障了达古冰川管理局管理中心、职工宿舍生产生活用水，达到了预期目标。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切实保障了达古冰川管理局管理中心、职工宿舍生产生活用水。</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both"/>
        <w:rPr>
          <w:rFonts w:hint="default" w:ascii="Times New Roman"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达古冰川景区供水管道维修项目实施后，供水系统良好运行，切实保障了达古冰川管理局管理中心、职工宿舍生产生活用水，达到了预期目标。达古冰川景区供水管道维修项目实施过程中符合相关法律法规，项目资金使用符合相关的财务管理制度规定。自评得分：</w:t>
      </w:r>
      <w:r>
        <w:rPr>
          <w:rFonts w:hint="default" w:ascii="Times New Roman" w:hAnsi="Times New Roman" w:eastAsia="仿宋_GB2312" w:cs="Times New Roman"/>
          <w:kern w:val="2"/>
          <w:sz w:val="32"/>
          <w:szCs w:val="32"/>
          <w:lang w:val="en-US" w:eastAsia="zh-CN" w:bidi="ar"/>
        </w:rPr>
        <w:t>93</w:t>
      </w:r>
      <w:r>
        <w:rPr>
          <w:rFonts w:hint="default" w:ascii="仿宋_GB2312" w:hAnsi="宋体" w:eastAsia="仿宋_GB2312" w:cs="仿宋_GB2312"/>
          <w:kern w:val="2"/>
          <w:sz w:val="32"/>
          <w:szCs w:val="32"/>
          <w:lang w:val="en-US" w:eastAsia="zh-CN" w:bidi="ar"/>
        </w:rPr>
        <w:t>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宋体" w:eastAsia="仿宋_GB2312" w:cs="Times New Roman"/>
          <w:kern w:val="2"/>
          <w:sz w:val="32"/>
          <w:szCs w:val="32"/>
          <w:lang w:val="en-US"/>
        </w:rPr>
      </w:pPr>
      <w:r>
        <w:rPr>
          <w:rFonts w:hint="default" w:ascii="仿宋_GB2312" w:hAnsi="宋体" w:eastAsia="仿宋_GB2312" w:cs="仿宋_GB2312"/>
          <w:kern w:val="2"/>
          <w:sz w:val="32"/>
          <w:szCs w:val="32"/>
          <w:lang w:val="en-US" w:eastAsia="zh-CN" w:bidi="ar"/>
        </w:rPr>
        <w:t>自我州财政局财评中心不再对</w:t>
      </w:r>
      <w:r>
        <w:rPr>
          <w:rFonts w:hint="default" w:ascii="Times New Roman" w:hAnsi="Times New Roman" w:eastAsia="仿宋_GB2312" w:cs="Times New Roman"/>
          <w:kern w:val="2"/>
          <w:sz w:val="32"/>
          <w:szCs w:val="32"/>
          <w:lang w:val="en-US" w:eastAsia="zh-CN" w:bidi="ar"/>
        </w:rPr>
        <w:t>400</w:t>
      </w:r>
      <w:r>
        <w:rPr>
          <w:rFonts w:hint="default" w:ascii="仿宋_GB2312" w:hAnsi="宋体" w:eastAsia="仿宋_GB2312" w:cs="仿宋_GB2312"/>
          <w:kern w:val="2"/>
          <w:sz w:val="32"/>
          <w:szCs w:val="32"/>
          <w:lang w:val="en-US" w:eastAsia="zh-CN" w:bidi="ar"/>
        </w:rPr>
        <w:t>万元以下项目开展结算审计后，部分投资金额不高的维修项目结算计价审定较为困难</w:t>
      </w:r>
      <w:r>
        <w:rPr>
          <w:rFonts w:hint="eastAsia" w:ascii="仿宋_GB2312" w:hAnsi="宋体" w:eastAsia="仿宋_GB2312" w:cs="仿宋_GB2312"/>
          <w:kern w:val="2"/>
          <w:sz w:val="32"/>
          <w:szCs w:val="32"/>
          <w:lang w:val="en-US" w:eastAsia="zh-CN" w:bidi="ar"/>
        </w:rPr>
        <w:t>。</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宋体" w:eastAsia="仿宋_GB2312" w:cs="仿宋_GB2312"/>
          <w:kern w:val="2"/>
          <w:sz w:val="32"/>
          <w:szCs w:val="32"/>
          <w:lang w:val="en-US" w:eastAsia="zh-CN" w:bidi="ar"/>
        </w:rPr>
        <w:t>建议对零星（投资金额小）维修项目审计结算程序出台相关指导意见。</w:t>
      </w:r>
    </w:p>
    <w:p>
      <w:pPr>
        <w:keepNext w:val="0"/>
        <w:keepLines w:val="0"/>
        <w:widowControl w:val="0"/>
        <w:suppressLineNumbers w:val="0"/>
        <w:autoSpaceDE w:val="0"/>
        <w:autoSpaceDN/>
        <w:spacing w:before="0" w:beforeAutospacing="0" w:after="0" w:afterAutospacing="0" w:line="600" w:lineRule="exact"/>
        <w:ind w:left="0" w:right="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附件4</w:t>
      </w:r>
    </w:p>
    <w:p>
      <w:pPr>
        <w:pStyle w:val="2"/>
        <w:rPr>
          <w:rFonts w:hint="eastAsia" w:ascii="仿宋" w:hAnsi="仿宋" w:eastAsia="仿宋" w:cs="仿宋"/>
          <w:i w:val="0"/>
          <w:caps w:val="0"/>
          <w:color w:val="auto"/>
          <w:spacing w:val="0"/>
          <w:kern w:val="2"/>
          <w:sz w:val="32"/>
          <w:szCs w:val="32"/>
          <w:shd w:val="clear" w:fill="FFFFFF"/>
          <w:lang w:val="en-US" w:eastAsia="zh-CN" w:bidi="ar-SA"/>
        </w:rPr>
      </w:pP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黑体"/>
          <w:color w:val="000000"/>
          <w:kern w:val="0"/>
          <w:sz w:val="44"/>
          <w:szCs w:val="44"/>
        </w:rPr>
      </w:pPr>
      <w:r>
        <w:rPr>
          <w:rFonts w:hint="eastAsia" w:ascii="黑体" w:hAnsi="宋体" w:eastAsia="黑体" w:cs="黑体"/>
          <w:color w:val="000000"/>
          <w:kern w:val="0"/>
          <w:sz w:val="44"/>
          <w:szCs w:val="44"/>
          <w:lang w:val="en-US" w:eastAsia="zh-CN" w:bidi="ar"/>
        </w:rPr>
        <w:t>达古冰川管理局三打古自然</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黑体"/>
          <w:color w:val="000000"/>
          <w:kern w:val="0"/>
          <w:sz w:val="44"/>
          <w:szCs w:val="44"/>
        </w:rPr>
      </w:pPr>
      <w:r>
        <w:rPr>
          <w:rFonts w:hint="eastAsia" w:ascii="黑体" w:hAnsi="宋体" w:eastAsia="黑体" w:cs="黑体"/>
          <w:color w:val="000000"/>
          <w:kern w:val="0"/>
          <w:sz w:val="44"/>
          <w:szCs w:val="44"/>
          <w:lang w:val="en-US" w:eastAsia="zh-CN" w:bidi="ar"/>
        </w:rPr>
        <w:t>保护地能力提升项目支出绩效自评报告</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宋体" w:hAnsi="宋体" w:eastAsia="宋体" w:cs="Times New Roman"/>
          <w:kern w:val="2"/>
          <w:sz w:val="32"/>
          <w:szCs w:val="32"/>
        </w:rPr>
      </w:pPr>
      <w:r>
        <w:rPr>
          <w:rFonts w:hint="eastAsia" w:ascii="宋体" w:hAnsi="宋体" w:eastAsia="宋体" w:cs="Times New Roman"/>
          <w:color w:val="000000"/>
          <w:kern w:val="2"/>
          <w:sz w:val="32"/>
          <w:szCs w:val="32"/>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eastAsia="仿宋_GB2312" w:cs="仿宋_GB2312"/>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r>
        <w:rPr>
          <w:rFonts w:hint="default" w:ascii="仿宋_GB2312" w:hAnsi="宋体" w:eastAsia="仿宋_GB2312" w:cs="仿宋_GB2312"/>
          <w:kern w:val="2"/>
          <w:sz w:val="32"/>
          <w:szCs w:val="32"/>
          <w:lang w:val="en-US" w:eastAsia="zh-CN" w:bidi="ar"/>
        </w:rPr>
        <w:t>该项目总投资76万元，资金来源：</w:t>
      </w:r>
      <w:r>
        <w:rPr>
          <w:rFonts w:hint="default" w:ascii="仿宋_GB2312" w:hAnsi="Times New Roman" w:eastAsia="仿宋_GB2312" w:cs="仿宋_GB2312"/>
          <w:kern w:val="2"/>
          <w:sz w:val="32"/>
          <w:szCs w:val="32"/>
          <w:lang w:val="en-US" w:eastAsia="zh-CN" w:bidi="ar"/>
        </w:rPr>
        <w:t>省级林业草原改革发展专项资金（</w:t>
      </w:r>
      <w:r>
        <w:rPr>
          <w:rFonts w:hint="default" w:ascii="仿宋_GB2312" w:hAnsi="Calibri" w:eastAsia="仿宋_GB2312" w:cs="仿宋_GB2312"/>
          <w:kern w:val="2"/>
          <w:sz w:val="32"/>
          <w:szCs w:val="32"/>
          <w:lang w:val="en-US" w:eastAsia="zh-CN" w:bidi="ar"/>
        </w:rPr>
        <w:t>川财资环[2021]53号</w:t>
      </w:r>
      <w:r>
        <w:rPr>
          <w:rFonts w:hint="default" w:ascii="仿宋_GB2312" w:hAnsi="Times New Roman" w:eastAsia="仿宋_GB2312" w:cs="仿宋_GB2312"/>
          <w:kern w:val="2"/>
          <w:sz w:val="32"/>
          <w:szCs w:val="32"/>
          <w:lang w:val="en-US" w:eastAsia="zh-CN" w:bidi="ar"/>
        </w:rPr>
        <w:t>），用于</w:t>
      </w:r>
      <w:r>
        <w:rPr>
          <w:rFonts w:hint="default" w:ascii="仿宋_GB2312" w:hAnsi="Calibri" w:eastAsia="仿宋_GB2312" w:cs="仿宋_GB2312"/>
          <w:kern w:val="2"/>
          <w:sz w:val="32"/>
          <w:szCs w:val="32"/>
          <w:lang w:val="en-US" w:eastAsia="zh-CN" w:bidi="ar"/>
        </w:rPr>
        <w:t>2021年度三打古自然保护地能力提升项目。</w:t>
      </w:r>
    </w:p>
    <w:p>
      <w:pPr>
        <w:keepNext w:val="0"/>
        <w:keepLines w:val="0"/>
        <w:widowControl w:val="0"/>
        <w:suppressLineNumbers w:val="0"/>
        <w:autoSpaceDE w:val="0"/>
        <w:autoSpaceDN/>
        <w:spacing w:before="0" w:beforeAutospacing="0" w:after="0" w:afterAutospacing="0" w:line="480" w:lineRule="atLeast"/>
        <w:ind w:left="0" w:right="0" w:firstLine="643" w:firstLineChars="200"/>
        <w:jc w:val="both"/>
        <w:rPr>
          <w:rFonts w:hint="eastAsia" w:ascii="黑体" w:hAnsi="宋体" w:eastAsia="黑体" w:cs="Times New Roman"/>
          <w:kern w:val="2"/>
          <w:sz w:val="32"/>
          <w:szCs w:val="32"/>
        </w:rPr>
      </w:pPr>
      <w:r>
        <w:rPr>
          <w:rFonts w:hint="default" w:ascii="楷体_GB2312" w:hAnsi="宋体" w:eastAsia="楷体_GB2312" w:cs="楷体_GB2312"/>
          <w:b/>
          <w:bCs w:val="0"/>
          <w:kern w:val="2"/>
          <w:sz w:val="32"/>
          <w:szCs w:val="32"/>
          <w:lang w:val="en-US" w:eastAsia="zh-CN" w:bidi="ar"/>
        </w:rPr>
        <w:t>（二）项目绩效目标。</w:t>
      </w:r>
      <w:r>
        <w:rPr>
          <w:rFonts w:hint="default" w:ascii="仿宋_GB2312" w:hAnsi="Times New Roman" w:eastAsia="仿宋_GB2312" w:cs="仿宋_GB2312"/>
          <w:kern w:val="2"/>
          <w:sz w:val="32"/>
          <w:szCs w:val="32"/>
          <w:lang w:val="en-US" w:eastAsia="zh-CN" w:bidi="ar"/>
        </w:rPr>
        <w:t>三打古自然保护地能力提升项目通过开展对三打古自然保护地能力建设，提升保护区宣传能力、队伍建设能力、野外巡护能力，进一步提高保护区野生动植物宣传教育能力和综合管理效率，促进自然保护区的永续发展。</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（三）项目资金申报相符性。</w:t>
      </w:r>
      <w:r>
        <w:rPr>
          <w:rFonts w:hint="default" w:ascii="楷体_GB2312" w:hAnsi="宋体" w:eastAsia="楷体_GB2312" w:cs="楷体_GB2312"/>
          <w:kern w:val="2"/>
          <w:sz w:val="32"/>
          <w:szCs w:val="32"/>
          <w:lang w:val="en-US" w:eastAsia="zh-CN" w:bidi="ar"/>
        </w:rPr>
        <w:t>该</w:t>
      </w:r>
      <w:r>
        <w:rPr>
          <w:rFonts w:hint="default" w:ascii="仿宋_GB2312" w:hAnsi="宋体" w:eastAsia="仿宋_GB2312" w:cs="仿宋_GB2312"/>
          <w:kern w:val="2"/>
          <w:sz w:val="32"/>
          <w:szCs w:val="32"/>
          <w:lang w:val="en-US" w:eastAsia="zh-CN" w:bidi="ar"/>
        </w:rPr>
        <w:t>申报内容与具体实施内容相符、申报目标合理可行。</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二、项目实施及管理情况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仿宋_GB2312" w:hAnsi="宋体" w:eastAsia="仿宋_GB2312" w:cs="Times New Roman"/>
          <w:kern w:val="2"/>
          <w:sz w:val="32"/>
          <w:szCs w:val="32"/>
          <w:lang w:val="en-US" w:eastAsia="zh-CN" w:bidi="ar"/>
        </w:rPr>
        <w:tab/>
      </w:r>
      <w:r>
        <w:rPr>
          <w:rFonts w:hint="default" w:ascii="楷体_GB2312" w:hAnsi="宋体" w:eastAsia="楷体_GB2312" w:cs="楷体_GB2312"/>
          <w:b/>
          <w:bCs w:val="0"/>
          <w:kern w:val="2"/>
          <w:sz w:val="32"/>
          <w:szCs w:val="32"/>
          <w:lang w:val="en-US" w:eastAsia="zh-CN" w:bidi="ar"/>
        </w:rPr>
        <w:t>（一）资金计划、到位及使用情况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kern w:val="2"/>
          <w:sz w:val="32"/>
          <w:szCs w:val="32"/>
          <w:lang w:val="en-US" w:eastAsia="zh-CN" w:bidi="ar"/>
        </w:rPr>
        <w:t>1．资金计划及到位。</w:t>
      </w:r>
      <w:r>
        <w:rPr>
          <w:rFonts w:hint="default" w:ascii="仿宋_GB2312" w:hAnsi="Times New Roman" w:eastAsia="仿宋_GB2312" w:cs="仿宋_GB2312"/>
          <w:kern w:val="2"/>
          <w:sz w:val="32"/>
          <w:szCs w:val="32"/>
          <w:lang w:val="en-US" w:eastAsia="zh-CN" w:bidi="ar"/>
        </w:rPr>
        <w:t>该项目资金于2021年9月</w:t>
      </w:r>
      <w:r>
        <w:rPr>
          <w:rFonts w:hint="default" w:ascii="仿宋_GB2312" w:hAnsi="Calibri" w:eastAsia="仿宋_GB2312" w:cs="仿宋_GB2312"/>
          <w:kern w:val="2"/>
          <w:sz w:val="32"/>
          <w:szCs w:val="32"/>
          <w:lang w:val="en-US" w:eastAsia="zh-CN" w:bidi="ar"/>
        </w:rPr>
        <w:t>下达，到位资金76万元，到位率100%。</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Calibri" w:eastAsia="仿宋_GB2312" w:cs="宋体"/>
          <w:kern w:val="2"/>
          <w:sz w:val="32"/>
          <w:szCs w:val="32"/>
        </w:rPr>
      </w:pPr>
      <w:r>
        <w:rPr>
          <w:rFonts w:hint="default" w:ascii="楷体_GB2312" w:hAnsi="宋体" w:eastAsia="楷体_GB2312" w:cs="楷体_GB2312"/>
          <w:kern w:val="2"/>
          <w:sz w:val="32"/>
          <w:szCs w:val="32"/>
          <w:lang w:val="en-US" w:eastAsia="zh-CN" w:bidi="ar"/>
        </w:rPr>
        <w:t>2．资金使用。</w:t>
      </w:r>
      <w:r>
        <w:rPr>
          <w:rFonts w:hint="default" w:ascii="仿宋_GB2312" w:hAnsi="Calibri" w:eastAsia="仿宋_GB2312" w:cs="仿宋_GB2312"/>
          <w:kern w:val="2"/>
          <w:sz w:val="32"/>
          <w:szCs w:val="32"/>
          <w:lang w:val="en-US" w:eastAsia="zh-CN" w:bidi="ar"/>
        </w:rPr>
        <w:t>该项目到位资金76万元，已完成资金支付722,106.00元，结余37,894.00万元。支付率95%，结余资金全部收回财政。</w:t>
      </w:r>
      <w:r>
        <w:rPr>
          <w:rFonts w:hint="default" w:ascii="楷体_GB2312" w:hAnsi="宋体" w:eastAsia="楷体_GB2312" w:cs="楷体_GB2312"/>
          <w:kern w:val="2"/>
          <w:sz w:val="32"/>
          <w:szCs w:val="32"/>
          <w:lang w:val="en-US" w:eastAsia="zh-CN" w:bidi="ar"/>
        </w:rPr>
        <w:t>资金主要用于</w:t>
      </w:r>
      <w:r>
        <w:rPr>
          <w:rFonts w:hint="default" w:ascii="仿宋_GB2312" w:hAnsi="Calibri" w:eastAsia="仿宋_GB2312" w:cs="仿宋_GB2312"/>
          <w:kern w:val="2"/>
          <w:sz w:val="32"/>
          <w:szCs w:val="32"/>
          <w:lang w:val="en-US" w:eastAsia="zh-CN" w:bidi="ar"/>
        </w:rPr>
        <w:t>自然保护区宣传画册及宣传视频制作、保护区队伍能力建设、保护区户外巡护能力提升等支出。</w:t>
      </w:r>
    </w:p>
    <w:p>
      <w:pPr>
        <w:keepNext w:val="0"/>
        <w:keepLines w:val="0"/>
        <w:widowControl w:val="0"/>
        <w:suppressLineNumbers w:val="0"/>
        <w:autoSpaceDE w:val="0"/>
        <w:autoSpaceDN/>
        <w:spacing w:before="0" w:beforeAutospacing="0" w:after="0" w:afterAutospacing="0" w:line="480" w:lineRule="atLeast"/>
        <w:ind w:left="0" w:right="0" w:firstLine="640" w:firstLineChars="200"/>
        <w:jc w:val="both"/>
        <w:rPr>
          <w:rFonts w:hint="default" w:ascii="仿宋_GB2312" w:hAnsi="Calibri" w:eastAsia="仿宋_GB2312" w:cs="宋体"/>
          <w:kern w:val="2"/>
          <w:sz w:val="32"/>
          <w:szCs w:val="32"/>
        </w:rPr>
      </w:pPr>
      <w:r>
        <w:rPr>
          <w:rFonts w:hint="default" w:ascii="仿宋_GB2312" w:hAnsi="Times New Roman" w:eastAsia="仿宋_GB2312" w:cs="仿宋_GB2312"/>
          <w:kern w:val="2"/>
          <w:sz w:val="32"/>
          <w:szCs w:val="32"/>
          <w:lang w:val="en-US" w:eastAsia="zh-CN" w:bidi="ar"/>
        </w:rPr>
        <w:t>3.我局为保障项目资金使用的透明性、公开性、廉洁性，所有项目均通过管理局采购小组完成采购。局务会和党委会讨论通过，能力提升方案已报省局备案。</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（二）项目财务管理情况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该项目严格按照管理局财务管理制度建设执行，资金支付时严格按照财务管理制度进行资金的支付，并及时进行账务处理，会计核算合法合规。</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（三）项目组织实施情况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我局保护处安排专人负责对本项目进行了全过程监督管理，质量控制良好，未出现重大及以上质量事故；在项目执行前后，无人员违法违纪情况发生。项目已按保护区能力提升采购方案要求完成，不存在超概算、自行扩大规模、提高标准和计划外项目等情况，项目管理规范，项目进度管理情况良好，达到预期效果。</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三、项目绩效情况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该项目已完成自然保护区宣传画册及宣传视频制作、保护区巡护人员户外防寒服装及半专业消防队伍服装配备、保护区森林防火监测等系统的建设及相关设备的配备。</w:t>
      </w:r>
    </w:p>
    <w:p>
      <w:pPr>
        <w:keepNext w:val="0"/>
        <w:keepLines w:val="0"/>
        <w:widowControl w:val="0"/>
        <w:numPr>
          <w:ilvl w:val="0"/>
          <w:numId w:val="9"/>
        </w:numPr>
        <w:suppressLineNumbers w:val="0"/>
        <w:autoSpaceDE w:val="0"/>
        <w:autoSpaceDN/>
        <w:spacing w:before="0" w:beforeAutospacing="0" w:after="0" w:afterAutospacing="0" w:line="480" w:lineRule="atLeas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项目效益情况</w:t>
      </w:r>
    </w:p>
    <w:p>
      <w:pPr>
        <w:keepNext w:val="0"/>
        <w:keepLines w:val="0"/>
        <w:widowControl w:val="0"/>
        <w:suppressLineNumbers w:val="0"/>
        <w:autoSpaceDE w:val="0"/>
        <w:autoSpaceDN/>
        <w:spacing w:before="0" w:beforeAutospacing="0" w:after="0" w:afterAutospacing="0" w:line="480" w:lineRule="atLeast"/>
        <w:ind w:left="0" w:right="0" w:firstLine="640" w:firstLineChars="20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项目的实施提升保护区野生动植物的宣传能力；提升自然保护区半专业扑火队应急扑火能力，保障保护区森林资源和生态资源；提升自然保护区工作人员野外巡护能力，保障远山地区动植物和野外用火安全。达到预期效果。综上项目自评得分90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四、问题及建议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（一）存在的问题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Times New Roman" w:eastAsia="仿宋_GB2312" w:cs="Times New Roman"/>
          <w:kern w:val="10"/>
          <w:sz w:val="32"/>
          <w:szCs w:val="32"/>
        </w:rPr>
      </w:pPr>
      <w:r>
        <w:rPr>
          <w:rFonts w:hint="default" w:ascii="仿宋_GB2312" w:hAnsi="宋体" w:eastAsia="仿宋_GB2312" w:cs="仿宋_GB2312"/>
          <w:kern w:val="2"/>
          <w:sz w:val="32"/>
          <w:szCs w:val="32"/>
          <w:lang w:val="en-US" w:eastAsia="zh-CN" w:bidi="ar"/>
        </w:rPr>
        <w:t>四川三打古自然保护区</w:t>
      </w:r>
      <w:r>
        <w:rPr>
          <w:rFonts w:hint="default" w:ascii="仿宋_GB2312" w:hAnsi="Times New Roman" w:eastAsia="仿宋_GB2312" w:cs="仿宋_GB2312"/>
          <w:kern w:val="2"/>
          <w:sz w:val="32"/>
          <w:szCs w:val="32"/>
          <w:lang w:val="en-US" w:eastAsia="zh-CN" w:bidi="ar"/>
        </w:rPr>
        <w:t>保护面积</w:t>
      </w:r>
      <w:r>
        <w:rPr>
          <w:rFonts w:hint="default" w:ascii="Times New Roman" w:hAnsi="Times New Roman" w:eastAsia="仿宋_GB2312" w:cs="Times New Roman"/>
          <w:kern w:val="2"/>
          <w:sz w:val="32"/>
          <w:szCs w:val="32"/>
          <w:lang w:val="en-US" w:eastAsia="zh-CN" w:bidi="ar"/>
        </w:rPr>
        <w:t>632</w:t>
      </w:r>
      <w:r>
        <w:rPr>
          <w:rFonts w:hint="default" w:ascii="仿宋_GB2312" w:hAnsi="Times New Roman" w:eastAsia="仿宋_GB2312" w:cs="仿宋_GB2312"/>
          <w:kern w:val="2"/>
          <w:sz w:val="32"/>
          <w:szCs w:val="32"/>
          <w:lang w:val="en-US" w:eastAsia="zh-CN" w:bidi="ar"/>
        </w:rPr>
        <w:t>平方公里，</w:t>
      </w:r>
      <w:r>
        <w:rPr>
          <w:rFonts w:hint="default" w:ascii="仿宋_GB2312" w:hAnsi="Times New Roman" w:eastAsia="仿宋_GB2312" w:cs="仿宋_GB2312"/>
          <w:kern w:val="10"/>
          <w:sz w:val="32"/>
          <w:szCs w:val="32"/>
          <w:lang w:val="en-US" w:eastAsia="zh-CN" w:bidi="ar"/>
        </w:rPr>
        <w:t>景区森林植被覆盖率高，景区内动植物资源丰富。</w:t>
      </w:r>
      <w:r>
        <w:rPr>
          <w:rFonts w:hint="default" w:ascii="仿宋_GB2312" w:hAnsi="Times New Roman" w:eastAsia="仿宋_GB2312" w:cs="仿宋_GB2312"/>
          <w:kern w:val="2"/>
          <w:sz w:val="32"/>
          <w:szCs w:val="32"/>
          <w:lang w:val="en-US" w:eastAsia="zh-CN" w:bidi="ar"/>
        </w:rPr>
        <w:t>保护区与景区采用“一套人马、两块牌子”的管理体制。</w:t>
      </w:r>
      <w:r>
        <w:rPr>
          <w:rFonts w:hint="default" w:ascii="仿宋_GB2312" w:hAnsi="Times New Roman" w:eastAsia="仿宋_GB2312" w:cs="仿宋_GB2312"/>
          <w:kern w:val="10"/>
          <w:sz w:val="32"/>
          <w:szCs w:val="32"/>
          <w:lang w:val="en-US" w:eastAsia="zh-CN" w:bidi="ar"/>
        </w:rPr>
        <w:t>保护区内的保护面积广，区内森林防火、林政管理、野生动植物保护等工作繁重，但</w:t>
      </w:r>
      <w:r>
        <w:rPr>
          <w:rFonts w:hint="default" w:ascii="仿宋_GB2312" w:hAnsi="Times New Roman" w:eastAsia="仿宋_GB2312" w:cs="仿宋_GB2312"/>
          <w:kern w:val="2"/>
          <w:sz w:val="32"/>
          <w:szCs w:val="32"/>
          <w:lang w:val="en-US" w:eastAsia="zh-CN" w:bidi="ar"/>
        </w:rPr>
        <w:t>由于保护区的林权不属于三打古自然保护区，因此相关资金无法下达到保护区，造成保护区经费严重不足，难以满足保护区相关工作的开展。</w:t>
      </w:r>
    </w:p>
    <w:p>
      <w:pPr>
        <w:keepNext w:val="0"/>
        <w:keepLines w:val="0"/>
        <w:widowControl w:val="0"/>
        <w:numPr>
          <w:ilvl w:val="0"/>
          <w:numId w:val="10"/>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相关建议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将保护区辖区内的相关专项资金下达至保护区，以确保保护区内森林防火、林政管理、野生动植物保护工作的正常开展。</w:t>
      </w:r>
    </w:p>
    <w:p>
      <w:pPr>
        <w:pStyle w:val="2"/>
        <w:rPr>
          <w:rFonts w:hint="default" w:ascii="仿宋" w:hAnsi="仿宋" w:eastAsia="仿宋" w:cs="仿宋"/>
          <w:i w:val="0"/>
          <w:caps w:val="0"/>
          <w:color w:val="auto"/>
          <w:spacing w:val="0"/>
          <w:kern w:val="2"/>
          <w:sz w:val="32"/>
          <w:szCs w:val="32"/>
          <w:shd w:val="clear" w:fill="FFFFFF"/>
          <w:lang w:val="en-US" w:eastAsia="zh-CN" w:bidi="ar-SA"/>
        </w:rPr>
      </w:pP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附件5</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达古冰川管理局数字化指挥</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平台租赁项目支出绩效自评报告</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Times New Roman"/>
          <w:color w:val="000000"/>
          <w:kern w:val="0"/>
          <w:sz w:val="44"/>
          <w:szCs w:val="4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数字化指挥系统为达古冰川风景名胜区管理局（甲方）与中国移动通信集团四川有限公司阿坝分公司（乙方）合作建设，本系统采用租赁形式，自</w:t>
      </w:r>
      <w:r>
        <w:rPr>
          <w:rFonts w:hint="eastAsia" w:ascii="宋体" w:hAnsi="宋体" w:eastAsia="宋体" w:cs="宋体"/>
          <w:kern w:val="2"/>
          <w:sz w:val="32"/>
          <w:szCs w:val="32"/>
          <w:lang w:val="en-US" w:eastAsia="zh-CN" w:bidi="ar"/>
        </w:rPr>
        <w:t>2015</w:t>
      </w:r>
      <w:r>
        <w:rPr>
          <w:rFonts w:hint="default" w:ascii="仿宋_GB2312" w:hAnsi="宋体" w:eastAsia="仿宋_GB2312" w:cs="仿宋_GB2312"/>
          <w:kern w:val="2"/>
          <w:sz w:val="32"/>
          <w:szCs w:val="32"/>
          <w:lang w:val="en-US" w:eastAsia="zh-CN" w:bidi="ar"/>
        </w:rPr>
        <w:t>年投入使用，该项目由阿坝州人民政府批准建设。项目资金支付为每年分两批支付共计</w:t>
      </w:r>
      <w:r>
        <w:rPr>
          <w:rFonts w:hint="eastAsia" w:ascii="宋体" w:hAnsi="宋体" w:eastAsia="宋体" w:cs="宋体"/>
          <w:kern w:val="2"/>
          <w:sz w:val="32"/>
          <w:szCs w:val="32"/>
          <w:lang w:val="en-US" w:eastAsia="zh-CN" w:bidi="ar"/>
        </w:rPr>
        <w:t>125.5</w:t>
      </w:r>
      <w:r>
        <w:rPr>
          <w:rFonts w:hint="default" w:ascii="仿宋_GB2312" w:hAnsi="宋体" w:eastAsia="仿宋_GB2312" w:cs="仿宋_GB2312"/>
          <w:kern w:val="2"/>
          <w:sz w:val="32"/>
          <w:szCs w:val="32"/>
          <w:lang w:val="en-US" w:eastAsia="zh-CN" w:bidi="ar"/>
        </w:rPr>
        <w:t>万元，分十年支付完成。</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该项目为三达古自然保护区提供全天候实时监控，自然灾害监控，治安监控，珍惜动植物监控等。该项目目前正常运行，各项指标都达到了预期效果。</w:t>
      </w:r>
    </w:p>
    <w:p>
      <w:pPr>
        <w:keepNext w:val="0"/>
        <w:keepLines w:val="0"/>
        <w:widowControl w:val="0"/>
        <w:numPr>
          <w:ilvl w:val="0"/>
          <w:numId w:val="11"/>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项目自评步骤及方法</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both"/>
        <w:rPr>
          <w:rFonts w:hint="default" w:ascii="仿宋_GB2312" w:eastAsia="仿宋_GB2312" w:cs="仿宋_GB2312"/>
          <w:color w:val="000000"/>
          <w:kern w:val="2"/>
          <w:sz w:val="32"/>
          <w:szCs w:val="32"/>
        </w:rPr>
      </w:pPr>
      <w:r>
        <w:rPr>
          <w:rFonts w:hint="default" w:ascii="仿宋_GB2312" w:hAnsi="Times New Roman" w:eastAsia="仿宋_GB2312" w:cs="仿宋_GB2312"/>
          <w:color w:val="000000"/>
          <w:kern w:val="2"/>
          <w:sz w:val="32"/>
          <w:szCs w:val="32"/>
          <w:lang w:val="en-US" w:eastAsia="zh-CN" w:bidi="ar"/>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210" w:leftChars="100" w:right="0" w:firstLine="400" w:firstLineChars="125"/>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项目资金在单位部门预算中申报并批复126万元专项用于此项目。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kern w:val="2"/>
          <w:sz w:val="32"/>
          <w:szCs w:val="32"/>
        </w:rPr>
      </w:pPr>
      <w:r>
        <w:rPr>
          <w:rFonts w:hint="default" w:ascii="仿宋_GB2312" w:hAnsi="宋体" w:eastAsia="仿宋_GB2312" w:cs="仿宋_GB2312"/>
          <w:kern w:val="2"/>
          <w:sz w:val="32"/>
          <w:szCs w:val="32"/>
          <w:lang w:val="en-US" w:eastAsia="zh-CN" w:bidi="ar"/>
        </w:rPr>
        <w:t>该项目租赁期10年，经费专款专用，支付方式为分段划拨，自2015年10月起，每年分两次支付。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kern w:val="2"/>
          <w:sz w:val="32"/>
          <w:szCs w:val="32"/>
        </w:rPr>
      </w:pPr>
      <w:r>
        <w:rPr>
          <w:rFonts w:hint="default" w:ascii="楷体_GB2312" w:hAnsi="宋体" w:eastAsia="楷体_GB2312" w:cs="Times New Roman"/>
          <w:kern w:val="2"/>
          <w:sz w:val="32"/>
          <w:szCs w:val="32"/>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楷体_GB2312" w:hAnsi="宋体" w:eastAsia="楷体_GB2312" w:cs="Times New Roman"/>
          <w:kern w:val="2"/>
          <w:sz w:val="32"/>
          <w:szCs w:val="32"/>
        </w:rPr>
      </w:pPr>
      <w:r>
        <w:rPr>
          <w:rFonts w:hint="default" w:ascii="Times New Roman" w:hAnsi="Times New Roman" w:eastAsia="仿宋_GB2312" w:cs="Times New Roman"/>
          <w:snapToGrid w:val="0"/>
          <w:kern w:val="2"/>
          <w:sz w:val="32"/>
          <w:szCs w:val="32"/>
          <w:lang w:val="en-US" w:eastAsia="zh-CN" w:bidi="ar"/>
        </w:rPr>
        <w:drawing>
          <wp:inline distT="0" distB="0" distL="114300" distR="114300">
            <wp:extent cx="5238750" cy="550545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1"/>
                    <a:stretch>
                      <a:fillRect/>
                    </a:stretch>
                  </pic:blipFill>
                  <pic:spPr>
                    <a:xfrm>
                      <a:off x="0" y="0"/>
                      <a:ext cx="5238750" cy="5505450"/>
                    </a:xfrm>
                    <a:prstGeom prst="rect">
                      <a:avLst/>
                    </a:prstGeom>
                    <a:noFill/>
                    <a:ln w="9525">
                      <a:noFill/>
                    </a:ln>
                  </pic:spPr>
                </pic:pic>
              </a:graphicData>
            </a:graphic>
          </wp:inline>
        </w:drawing>
      </w:r>
      <w:r>
        <w:rPr>
          <w:rFonts w:hint="default" w:ascii="楷体_GB2312" w:hAnsi="宋体" w:eastAsia="楷体_GB2312" w:cs="Times New Roman"/>
          <w:kern w:val="2"/>
          <w:sz w:val="32"/>
          <w:szCs w:val="32"/>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各项目实施单位财务制度健全，并严格合同约定支付相关款项，支付依据合法合规。</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numPr>
          <w:ilvl w:val="0"/>
          <w:numId w:val="12"/>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项目组织架构及实施流程</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仿宋_GB2312" w:hAnsi="宋体" w:eastAsia="仿宋_GB2312" w:cs="仿宋_GB2312"/>
          <w:kern w:val="2"/>
          <w:sz w:val="32"/>
          <w:szCs w:val="32"/>
          <w:lang w:val="en-US" w:eastAsia="zh-CN" w:bidi="ar"/>
        </w:rPr>
        <w:t>项目为数字化指挥系统，通过前期硬件搭建和后期软件联通实现。</w:t>
      </w:r>
    </w:p>
    <w:p>
      <w:pPr>
        <w:keepNext w:val="0"/>
        <w:keepLines w:val="0"/>
        <w:widowControl w:val="0"/>
        <w:numPr>
          <w:ilvl w:val="0"/>
          <w:numId w:val="12"/>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该项目严格按照双方签订的合同执行。同时单位落实责任处室，并安排专人负责系统日常监测，以确保系统正常运行。</w:t>
      </w:r>
    </w:p>
    <w:p>
      <w:pPr>
        <w:keepNext w:val="0"/>
        <w:keepLines w:val="0"/>
        <w:widowControl w:val="0"/>
        <w:numPr>
          <w:ilvl w:val="0"/>
          <w:numId w:val="12"/>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项目监管情况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该项目通过责任处室日常监测以及合作单位日常巡检来保障系统正常运行，并建立台账，达到了预期使用效果。</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2021年该项目主要完成：一是为景区提供全方位、全天候、高清化、智能化的视频监控系统。二是满足视频客流量统计分析的需求，需要对出入口客流量进行统计和分析。三是满足智能分析功能需求，支持入侵检测、穿越警戒面、周界防护、滞留监测、可疑物品遗留监测。四是满足电子地图需求，将景区电子地图加载到系统中。五是视频监控管理软件满足实时监控、录像回放与下载、电子地图、客流量统计分析，设备远程统一配置和管理，流媒体负载均衡。六是及时对出现的故障进行维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Times New Roman" w:eastAsia="仿宋_GB2312" w:cs="仿宋_GB2312"/>
          <w:kern w:val="2"/>
          <w:sz w:val="32"/>
          <w:szCs w:val="32"/>
          <w:lang w:val="en-US" w:eastAsia="zh-CN" w:bidi="ar"/>
        </w:rPr>
        <w:t>通过对景区的监控，达到达古冰川景区4A级景区必要的硬件设施环境，项目达到了预期使用标准，项目资金正常支付中，数字化指挥系统为达古冰川提升了景区智能化、信息化、提升了景区硬实力，更高效的宣传了景区的旅游资源。</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项目各项指标正常，在日常工作中起着重要作用，达到了预期效果，项目综合评价得分97分。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1.乙方日常巡检不够积极，甲方督促不够。</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2.乙方对系统故障处理不积极。</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1.加强甲乙双方日常工作沟通，积极合作。</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2.督促乙方加强整改力度，并建立台账，与项目绩效挂钩。</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 w:hAnsi="仿宋" w:eastAsia="仿宋" w:cs="仿宋"/>
          <w:i w:val="0"/>
          <w:caps w:val="0"/>
          <w:color w:val="auto"/>
          <w:spacing w:val="0"/>
          <w:kern w:val="2"/>
          <w:sz w:val="32"/>
          <w:szCs w:val="32"/>
          <w:shd w:val="clear" w:fill="FFFFFF"/>
          <w:lang w:val="en-US" w:eastAsia="zh-CN" w:bidi="ar-SA"/>
        </w:rPr>
      </w:pPr>
      <w:r>
        <w:rPr>
          <w:rFonts w:hint="default" w:ascii="仿宋_GB2312" w:hAnsi="宋体" w:eastAsia="仿宋_GB2312" w:cs="Times New Roman"/>
          <w:kern w:val="2"/>
          <w:sz w:val="32"/>
          <w:szCs w:val="32"/>
          <w:lang w:val="en-US" w:eastAsia="zh-CN" w:bidi="ar"/>
        </w:rPr>
        <w:t xml:space="preserve"> </w:t>
      </w: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附件6</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达古冰川管理局国家地质</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公园建设项目支出绩效自评报告</w:t>
      </w:r>
    </w:p>
    <w:p>
      <w:pPr>
        <w:pStyle w:val="7"/>
        <w:keepNext w:val="0"/>
        <w:keepLines w:val="0"/>
        <w:widowControl w:val="0"/>
        <w:suppressLineNumbers w:val="0"/>
        <w:autoSpaceDE w:val="0"/>
        <w:autoSpaceDN/>
        <w:spacing w:before="0" w:beforeAutospacing="0" w:after="0" w:afterAutospacing="0" w:line="600" w:lineRule="exact"/>
        <w:ind w:left="0" w:right="0"/>
        <w:jc w:val="both"/>
        <w:rPr>
          <w:rFonts w:hint="eastAsia" w:ascii="黑体" w:hAnsi="宋体" w:eastAsia="黑体" w:cs="Times New Roman"/>
          <w:color w:val="000000"/>
          <w:kern w:val="0"/>
          <w:sz w:val="44"/>
          <w:szCs w:val="44"/>
        </w:rPr>
      </w:pPr>
      <w:r>
        <w:rPr>
          <w:rFonts w:hint="eastAsia" w:ascii="黑体" w:hAnsi="宋体" w:eastAsia="黑体" w:cs="Times New Roman"/>
          <w:color w:val="000000"/>
          <w:kern w:val="0"/>
          <w:sz w:val="44"/>
          <w:szCs w:val="4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达古冰川景区现有现代冰川19条，是亚洲最东缘的冰川分布区，景区内的第四纪冰川足迹丰富，有U型谷、角峰、冰斗、冰蚀湖、冰水堆积物等。本项目充分遵循生态要求，进一步凸现公园品牌特急，创建一流地质公园，打造知名地质旅游品牌。</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项目主要内容：以保护景区的现代冰川和古冰川遗迹，卡龙沟园区高寒区喀斯特地貌景观遗迹及其环境为首要目标，建立科学完善、实施有效的保护机制与措施；在保护优先的前提下挖掘丰富地质公园的科学内涵，强化公园的科学研究、旅游科普、旅游服务功能，将公园建设为一处以古冰川地质遗迹、高寒区喀斯特地貌钙化堆积景观为特色的综合性地质公园。</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项目总体目标：将项目内地质遗迹景观与其周边的藏族羌族民族文化紧密结合，充分挖掘公园的科学内涵和文化内涵，依托阿坝州旅游线，带动墨水县达古冰川地区区域旅游目的地的建设。将公园建设成为集地质遗迹保护、地学科普研究、科普观光教育、生态风景游览、休闲户外活动于一体的国内一流的综合旅游目的地。</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3．该项目申报内容与实际相符，申报目标合理可行。</w:t>
      </w:r>
    </w:p>
    <w:p>
      <w:pPr>
        <w:keepNext w:val="0"/>
        <w:keepLines w:val="0"/>
        <w:widowControl w:val="0"/>
        <w:numPr>
          <w:ilvl w:val="0"/>
          <w:numId w:val="13"/>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项目自评步骤及方法</w:t>
      </w:r>
    </w:p>
    <w:p>
      <w:pPr>
        <w:pStyle w:val="7"/>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default" w:ascii="仿宋_GB2312" w:hAnsi="宋体" w:eastAsia="仿宋_GB2312" w:cs="Times New Roman"/>
          <w:kern w:val="2"/>
          <w:sz w:val="32"/>
          <w:szCs w:val="32"/>
        </w:rPr>
      </w:pPr>
      <w:r>
        <w:rPr>
          <w:rFonts w:hint="default" w:ascii="仿宋_GB2312" w:hAnsi="宋体" w:eastAsia="仿宋_GB2312" w:cs="仿宋_GB2312"/>
          <w:color w:val="000000"/>
          <w:kern w:val="2"/>
          <w:sz w:val="32"/>
          <w:szCs w:val="32"/>
          <w:lang w:val="en-US" w:eastAsia="zh-CN" w:bidi="ar"/>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项目资金550万元，分两年申报，于2020年申报及批复350万元，于2021年申报及批复200万元。</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1．资金计划及到位情况。国家地质公园建设资金预算550万元，分两年计划申报，于2020年到位350万元，2021年到位200万元，到位率100%。</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资金使用。国家地质公园建设资金实际支付4,926,363.30元，2020年项目资金主要用于项目可研编制、实施方案深化设计等前期费用，工程款主要在2021年支付。项目资金按工程完成进度和合同约定支付到项目单位，支付依据合法合规。</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left"/>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本单位财务管理制度执行，做到专项管理、专款专用，并严格按照工程完成进度支付工程款。在资金使用上，严格按照资金使用用途进行审核审批，项目管理规范有序，财务核算及时，会计信息真实。</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numPr>
          <w:ilvl w:val="0"/>
          <w:numId w:val="14"/>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项目组织架构及实施流程</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于2019年6月10日完成《达古冰山国家级地质公园规划》审批并报省林草局备案。因国家机构改革等多种原因（国家地质公园创建原主管机关为原国土资源部，现为国家林业和草原局），《地质公园揭碑开园实施方案》于2019年10月25日通过省林草局审批。</w:t>
      </w:r>
    </w:p>
    <w:p>
      <w:pPr>
        <w:pStyle w:val="7"/>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eastAsia" w:ascii="宋体" w:hAnsi="Calibri" w:eastAsia="宋体" w:cs="宋体"/>
          <w:color w:val="000000"/>
          <w:sz w:val="24"/>
          <w:szCs w:val="24"/>
        </w:rPr>
      </w:pPr>
      <w:r>
        <w:rPr>
          <w:rFonts w:hint="default" w:ascii="仿宋_GB2312" w:hAnsi="宋体" w:eastAsia="仿宋_GB2312" w:cs="仿宋_GB2312"/>
          <w:color w:val="000000"/>
          <w:kern w:val="0"/>
          <w:sz w:val="32"/>
          <w:szCs w:val="32"/>
          <w:lang w:val="en-US" w:eastAsia="zh-CN" w:bidi="ar"/>
        </w:rPr>
        <w:t>项目实施方案深化设计于2020年5月9日采用竞争性磋商方式确定四川西南大地工程物探有限公司、四川容辉拓创建筑设计有限公司为中标项目成交人；项目工程于2020年11月19日采用公开招标确定黑水县建筑工程二公司为中标人；项目暂估价部分于2021年2月采用公开招标方式确定四川维森装饰工程有限公司为中标人。</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宋体" w:eastAsia="仿宋_GB2312" w:cs="仿宋_GB2312"/>
          <w:kern w:val="2"/>
          <w:sz w:val="32"/>
          <w:szCs w:val="32"/>
          <w:lang w:val="en-US" w:eastAsia="zh-CN" w:bidi="ar"/>
        </w:rPr>
        <w:t>项目于2022年1月进行竣工验收，现待国家林业草原局复检。</w:t>
      </w:r>
    </w:p>
    <w:p>
      <w:pPr>
        <w:keepNext w:val="0"/>
        <w:keepLines w:val="0"/>
        <w:widowControl w:val="0"/>
        <w:numPr>
          <w:ilvl w:val="0"/>
          <w:numId w:val="14"/>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地质公园作为一类特殊的旅游区，更强调科学性，严格要求，为达成标椎，为了加强对国家地质公园的管理，有效保护、合理利用地质遗迹资源，普及地球科学知识，促进地质公园所在地经济和社会发展，单位责任处室特制定行之有效的管理办法。</w:t>
      </w:r>
    </w:p>
    <w:p>
      <w:pPr>
        <w:pStyle w:val="4"/>
        <w:widowControl/>
        <w:numPr>
          <w:ilvl w:val="0"/>
          <w:numId w:val="14"/>
        </w:numPr>
        <w:ind w:left="0" w:leftChars="0" w:firstLine="720" w:firstLineChars="0"/>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rPr>
        <w:t>项目监管情况</w:t>
      </w:r>
    </w:p>
    <w:p>
      <w:pPr>
        <w:pStyle w:val="4"/>
        <w:widowControl/>
        <w:ind w:left="0" w:firstLine="640" w:firstLineChars="200"/>
        <w:rPr>
          <w:rFonts w:hint="default" w:ascii="仿宋_GB2312" w:eastAsia="仿宋_GB2312" w:cs="仿宋_GB2312"/>
          <w:kern w:val="2"/>
          <w:sz w:val="32"/>
          <w:szCs w:val="32"/>
        </w:rPr>
      </w:pPr>
      <w:r>
        <w:rPr>
          <w:rFonts w:hint="default" w:ascii="仿宋_GB2312" w:hAnsi="宋体" w:eastAsia="仿宋_GB2312" w:cs="仿宋_GB2312"/>
          <w:kern w:val="2"/>
          <w:sz w:val="32"/>
          <w:szCs w:val="32"/>
        </w:rPr>
        <w:t>加强地质公园建设监管，保证项目安全、有效正常的运行，我局积极探索加强建设监管的新方法和新措施，从建设健全长效机制着手，进一步明确职责、规范程序、强化监管，采取了一系列切实有效的措施解决工作中存在和遇到的问题，逐步形成了一套行之有效的好做法，一是完善监管制度，加大监管力度；二是严明工作职责，提高监管水平；三是建立健全了内部监管情况，强化日常监管管理制度。</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新建地质遗迹保护设施，包括围栏260米、界碑2个、界桩33个；新建地质公园解说与标识系统，包括主碑1个、副碑1个、区域说明牌2块、多媒体电子沙盘1个、景区解说碑68个、户外宣传牌3块、公共信息牌37块，地质博物馆改造建筑面积1100㎡、布展建筑面积1000㎡，布展制作电子书、信息查询系统；新建地质公园管理和信息化系统。</w:t>
      </w:r>
    </w:p>
    <w:p>
      <w:pPr>
        <w:keepNext w:val="0"/>
        <w:keepLines w:val="0"/>
        <w:widowControl w:val="0"/>
        <w:suppressLineNumbers w:val="0"/>
        <w:spacing w:before="0" w:beforeAutospacing="0" w:after="0" w:afterAutospacing="0" w:line="580" w:lineRule="exac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在保护优先的前提将地质遗迹景观与其周边的藏族羌族民族文化紧密结合，充分挖掘公园的科学内涵和文化内涵，同时，加强与外围资源产品进行联动，强化自身特色，促进优势互补，以达古冰川景区为依托，带动当地旅游经济的发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both"/>
        <w:rPr>
          <w:rFonts w:hint="eastAsia" w:ascii="宋体"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该项目实施后给景区旅游增添项目。有效良好运作性，有效地提高景区的知名度，自评得分</w:t>
      </w:r>
      <w:r>
        <w:rPr>
          <w:rFonts w:hint="eastAsia" w:ascii="宋体" w:hAnsi="宋体" w:eastAsia="宋体" w:cs="宋体"/>
          <w:kern w:val="2"/>
          <w:sz w:val="32"/>
          <w:szCs w:val="32"/>
          <w:lang w:val="en-US" w:eastAsia="zh-CN" w:bidi="ar"/>
        </w:rPr>
        <w:t>90</w:t>
      </w:r>
      <w:r>
        <w:rPr>
          <w:rFonts w:hint="default" w:ascii="仿宋_GB2312" w:hAnsi="宋体" w:eastAsia="仿宋_GB2312" w:cs="仿宋_GB2312"/>
          <w:kern w:val="2"/>
          <w:sz w:val="32"/>
          <w:szCs w:val="32"/>
          <w:lang w:val="en-US" w:eastAsia="zh-CN" w:bidi="ar"/>
        </w:rPr>
        <w:t>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地质公园建设完成后，缺乏专业的讲解人员。</w:t>
      </w:r>
    </w:p>
    <w:p>
      <w:pPr>
        <w:keepNext w:val="0"/>
        <w:keepLines w:val="0"/>
        <w:widowControl w:val="0"/>
        <w:suppressLineNumbers w:val="0"/>
        <w:autoSpaceDE w:val="0"/>
        <w:autoSpaceDN/>
        <w:adjustRightInd w:val="0"/>
        <w:snapToGrid w:val="0"/>
        <w:spacing w:before="0" w:beforeAutospacing="0" w:after="0" w:afterAutospacing="0" w:line="600" w:lineRule="exact"/>
        <w:ind w:left="720" w:leftChars="0" w:right="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pStyle w:val="7"/>
        <w:keepNext w:val="0"/>
        <w:keepLines w:val="0"/>
        <w:widowControl w:val="0"/>
        <w:suppressLineNumbers w:val="0"/>
        <w:autoSpaceDE w:val="0"/>
        <w:autoSpaceDN w:val="0"/>
        <w:adjustRightInd w:val="0"/>
        <w:spacing w:before="0" w:beforeAutospacing="0" w:after="0" w:afterAutospacing="0"/>
        <w:ind w:left="720" w:leftChars="0" w:right="0"/>
        <w:jc w:val="left"/>
        <w:rPr>
          <w:rFonts w:hint="default" w:ascii="宋体" w:hAnsi="宋体" w:eastAsia="仿宋_GB2312" w:cs="Times New Roman"/>
          <w:kern w:val="2"/>
          <w:sz w:val="32"/>
          <w:szCs w:val="32"/>
        </w:rPr>
      </w:pPr>
      <w:r>
        <w:rPr>
          <w:rFonts w:hint="default" w:ascii="仿宋_GB2312" w:hAnsi="宋体" w:eastAsia="仿宋_GB2312" w:cs="仿宋_GB2312"/>
          <w:color w:val="000000"/>
          <w:kern w:val="2"/>
          <w:sz w:val="32"/>
          <w:szCs w:val="32"/>
          <w:lang w:val="en-US" w:eastAsia="zh-CN" w:bidi="ar"/>
        </w:rPr>
        <w:t>加强地质公园讲解人员的专业知识培训。</w:t>
      </w:r>
    </w:p>
    <w:p>
      <w:pPr>
        <w:pStyle w:val="2"/>
        <w:ind w:firstLine="640" w:firstLineChars="200"/>
        <w:rPr>
          <w:rFonts w:hint="default" w:ascii="仿宋" w:hAnsi="仿宋" w:eastAsia="仿宋" w:cs="仿宋"/>
          <w:i w:val="0"/>
          <w:caps w:val="0"/>
          <w:color w:val="auto"/>
          <w:spacing w:val="0"/>
          <w:kern w:val="2"/>
          <w:sz w:val="32"/>
          <w:szCs w:val="32"/>
          <w:shd w:val="clear" w:fill="FFFFFF"/>
          <w:lang w:val="en-US" w:eastAsia="zh-CN" w:bidi="ar-SA"/>
        </w:rPr>
      </w:pP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附件7</w:t>
      </w:r>
    </w:p>
    <w:p>
      <w:pPr>
        <w:pStyle w:val="2"/>
        <w:rPr>
          <w:rFonts w:hint="eastAsia" w:ascii="仿宋" w:hAnsi="仿宋" w:eastAsia="仿宋" w:cs="仿宋"/>
          <w:i w:val="0"/>
          <w:caps w:val="0"/>
          <w:color w:val="auto"/>
          <w:spacing w:val="0"/>
          <w:kern w:val="2"/>
          <w:sz w:val="32"/>
          <w:szCs w:val="32"/>
          <w:shd w:val="clear" w:fill="FFFFFF"/>
          <w:lang w:val="en-US" w:eastAsia="zh-CN" w:bidi="ar-SA"/>
        </w:rPr>
      </w:pP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达古冰川管理局</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野生动植物保护项目支出绩效自评报告</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28"/>
          <w:szCs w:val="28"/>
        </w:rPr>
      </w:pPr>
      <w:r>
        <w:rPr>
          <w:rFonts w:hint="eastAsia" w:ascii="黑体" w:hAnsi="宋体" w:eastAsia="黑体" w:cs="Times New Roman"/>
          <w:color w:val="000000"/>
          <w:kern w:val="0"/>
          <w:sz w:val="28"/>
          <w:szCs w:val="28"/>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野生动植物保护专项资金用于三打古自然保护区川金丝猴种群调查与栖息地评估，</w:t>
      </w:r>
      <w:r>
        <w:rPr>
          <w:rFonts w:hint="default" w:ascii="仿宋_GB2312" w:hAnsi="Times New Roman" w:eastAsia="仿宋_GB2312" w:cs="仿宋_GB2312"/>
          <w:kern w:val="2"/>
          <w:sz w:val="32"/>
          <w:szCs w:val="32"/>
          <w:lang w:val="en-US" w:eastAsia="zh-CN" w:bidi="ar"/>
        </w:rPr>
        <w:t>项目主要用于调查金丝猴在保护区的种群分布现状及数量，在保护区的栖息生态现状等，为保护区的川金丝猴保护管理提供科学依据。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1．项目主要内容：项目主要调查川金丝猴的种群及分布、栖息地状况、受威胁状况、保护现状等，并根据以上调查结果，找出保护中可能存在的问题，分析其原因，提出相应的解决措施。</w:t>
      </w:r>
    </w:p>
    <w:p>
      <w:pPr>
        <w:keepNext w:val="0"/>
        <w:keepLines w:val="0"/>
        <w:widowControl w:val="0"/>
        <w:numPr>
          <w:ilvl w:val="0"/>
          <w:numId w:val="15"/>
        </w:numPr>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 xml:space="preserve">项目应实现的具体绩效目标为：（1）获得川金丝猴种群分布现状及种群数量；（2）获得川金丝猴种群威胁因素；（3）获得川金丝猴种群栖息生境状况；评估川金丝猴栖息地的质量；（4）获得川金丝猴分布区内及周边社区的社会经济状况；（5）获取川金丝猴保护中存在的问题，提出相应的解决措施。 </w:t>
      </w:r>
    </w:p>
    <w:p>
      <w:pPr>
        <w:keepNext w:val="0"/>
        <w:keepLines w:val="0"/>
        <w:widowControl w:val="0"/>
        <w:numPr>
          <w:ilvl w:val="0"/>
          <w:numId w:val="15"/>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该项目申报内容与实际相符，申报目标合理可行。</w:t>
      </w:r>
    </w:p>
    <w:p>
      <w:pPr>
        <w:keepNext w:val="0"/>
        <w:keepLines w:val="0"/>
        <w:widowControl w:val="0"/>
        <w:numPr>
          <w:ilvl w:val="0"/>
          <w:numId w:val="16"/>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项目自评步骤及方法</w:t>
      </w:r>
    </w:p>
    <w:p>
      <w:pPr>
        <w:pStyle w:val="5"/>
        <w:widowControl/>
        <w:spacing w:before="0" w:beforeAutospacing="1"/>
        <w:ind w:left="0" w:right="0" w:firstLine="640" w:firstLineChars="200"/>
        <w:rPr>
          <w:rFonts w:hint="default" w:ascii="Times New Roman" w:hAnsi="Times New Roman" w:eastAsia="仿宋_GB2312" w:cs="Times New Roman"/>
          <w:kern w:val="2"/>
          <w:sz w:val="32"/>
          <w:szCs w:val="32"/>
        </w:rPr>
      </w:pPr>
      <w:r>
        <w:rPr>
          <w:rFonts w:hint="default" w:ascii="仿宋_GB2312" w:hAnsi="宋体" w:eastAsia="仿宋_GB2312" w:cs="仿宋_GB2312"/>
          <w:kern w:val="2"/>
          <w:sz w:val="32"/>
          <w:szCs w:val="32"/>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pStyle w:val="5"/>
        <w:widowControl/>
        <w:spacing w:before="0" w:beforeAutospacing="1"/>
        <w:ind w:left="0" w:right="0" w:firstLine="640" w:firstLineChars="200"/>
        <w:rPr>
          <w:rFonts w:hint="default" w:ascii="Times New Roman" w:hAnsi="Times New Roman" w:eastAsia="仿宋_GB2312" w:cs="Times New Roman"/>
          <w:kern w:val="2"/>
          <w:sz w:val="32"/>
          <w:szCs w:val="32"/>
        </w:rPr>
      </w:pPr>
      <w:r>
        <w:rPr>
          <w:rFonts w:hint="default" w:ascii="仿宋_GB2312" w:hAnsi="宋体" w:eastAsia="仿宋_GB2312" w:cs="仿宋_GB2312"/>
          <w:kern w:val="2"/>
          <w:sz w:val="32"/>
          <w:szCs w:val="32"/>
        </w:rPr>
        <w:t>该项目于2021年9月下达15万元，资金来源：2021年州级野生动植物保护</w:t>
      </w:r>
      <w:r>
        <w:rPr>
          <w:rFonts w:hint="default" w:ascii="仿宋_GB2312" w:eastAsia="仿宋_GB2312" w:cs="仿宋_GB2312"/>
          <w:kern w:val="2"/>
          <w:sz w:val="32"/>
          <w:szCs w:val="32"/>
        </w:rPr>
        <w:t>专项资金（</w:t>
      </w:r>
      <w:r>
        <w:rPr>
          <w:rFonts w:hint="default" w:ascii="仿宋_GB2312" w:hAnsi="Calibri" w:eastAsia="仿宋_GB2312" w:cs="仿宋_GB2312"/>
          <w:kern w:val="2"/>
          <w:sz w:val="32"/>
          <w:szCs w:val="32"/>
        </w:rPr>
        <w:t>阿州财资环[2021]24号</w:t>
      </w:r>
      <w:r>
        <w:rPr>
          <w:rFonts w:hint="default" w:ascii="仿宋_GB2312" w:eastAsia="仿宋_GB2312" w:cs="仿宋_GB2312"/>
          <w:kern w:val="2"/>
          <w:sz w:val="32"/>
          <w:szCs w:val="32"/>
        </w:rPr>
        <w:t>）。</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楷体_GB2312" w:cs="Times New Roman"/>
          <w:kern w:val="2"/>
          <w:sz w:val="32"/>
          <w:szCs w:val="32"/>
        </w:rPr>
      </w:pPr>
      <w:r>
        <w:rPr>
          <w:rFonts w:hint="default" w:ascii="楷体_GB2312" w:hAnsi="宋体" w:eastAsia="楷体_GB2312" w:cs="楷体_GB2312"/>
          <w:kern w:val="2"/>
          <w:sz w:val="32"/>
          <w:szCs w:val="32"/>
          <w:lang w:val="en-US" w:eastAsia="zh-CN" w:bidi="ar"/>
        </w:rPr>
        <w:t>1．资金计划及到位：</w:t>
      </w:r>
      <w:r>
        <w:rPr>
          <w:rFonts w:hint="default" w:ascii="仿宋_GB2312" w:hAnsi="宋体" w:eastAsia="仿宋_GB2312" w:cs="仿宋_GB2312"/>
          <w:kern w:val="2"/>
          <w:sz w:val="32"/>
          <w:szCs w:val="32"/>
          <w:lang w:val="en-US" w:eastAsia="zh-CN" w:bidi="ar"/>
        </w:rPr>
        <w:t>该项目计划到位资金15万元，到位15万元。</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Calibri" w:eastAsia="楷体_GB2312" w:cs="宋体"/>
          <w:kern w:val="2"/>
          <w:sz w:val="32"/>
          <w:szCs w:val="32"/>
        </w:rPr>
      </w:pPr>
      <w:r>
        <w:rPr>
          <w:rFonts w:hint="default" w:ascii="楷体_GB2312" w:hAnsi="宋体" w:eastAsia="楷体_GB2312" w:cs="楷体_GB2312"/>
          <w:kern w:val="2"/>
          <w:sz w:val="32"/>
          <w:szCs w:val="32"/>
          <w:lang w:val="en-US" w:eastAsia="zh-CN" w:bidi="ar"/>
        </w:rPr>
        <w:t>2．资金使用。</w:t>
      </w:r>
      <w:r>
        <w:rPr>
          <w:rFonts w:hint="default" w:ascii="仿宋_GB2312" w:hAnsi="Times New Roman" w:eastAsia="仿宋_GB2312" w:cs="仿宋_GB2312"/>
          <w:kern w:val="2"/>
          <w:sz w:val="32"/>
          <w:szCs w:val="32"/>
          <w:lang w:val="en-US" w:eastAsia="zh-CN" w:bidi="ar"/>
        </w:rPr>
        <w:t>该项目到位资金15万，已完成支付14.87万元，结余资金0.13万元已全部收回财政。</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该项目严格按照本单位财务管理制度执行，严格执行财务管理制度进行支付，及时对账务处理，合理合规进行会计核算。</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numPr>
          <w:ilvl w:val="0"/>
          <w:numId w:val="17"/>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项目组织架构及实施流程</w:t>
      </w:r>
    </w:p>
    <w:p>
      <w:pPr>
        <w:pStyle w:val="5"/>
        <w:widowControl/>
        <w:spacing w:before="0" w:beforeAutospacing="1"/>
        <w:ind w:left="0" w:right="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     </w:t>
      </w:r>
      <w:r>
        <w:rPr>
          <w:rFonts w:hint="default" w:ascii="仿宋_GB2312" w:hAnsi="Times New Roman" w:eastAsia="仿宋_GB2312" w:cs="仿宋_GB2312"/>
          <w:kern w:val="2"/>
          <w:sz w:val="32"/>
          <w:szCs w:val="32"/>
        </w:rPr>
        <w:t>该项目要求参与调查的人员进行野外调查和川金丝猴活动习性的相关培训，调查工作必须在至少有</w:t>
      </w:r>
      <w:r>
        <w:rPr>
          <w:rFonts w:hint="default" w:ascii="Times New Roman" w:hAnsi="Times New Roman" w:eastAsia="仿宋_GB2312" w:cs="Times New Roman"/>
          <w:kern w:val="2"/>
          <w:sz w:val="32"/>
          <w:szCs w:val="32"/>
        </w:rPr>
        <w:t>3</w:t>
      </w:r>
      <w:r>
        <w:rPr>
          <w:rFonts w:hint="default" w:ascii="仿宋_GB2312" w:hAnsi="Times New Roman" w:eastAsia="仿宋_GB2312" w:cs="仿宋_GB2312"/>
          <w:kern w:val="2"/>
          <w:sz w:val="32"/>
          <w:szCs w:val="32"/>
        </w:rPr>
        <w:t>名以上专业技术人员和</w:t>
      </w:r>
      <w:r>
        <w:rPr>
          <w:rFonts w:hint="default" w:ascii="Times New Roman" w:hAnsi="Times New Roman" w:eastAsia="仿宋_GB2312" w:cs="Times New Roman"/>
          <w:kern w:val="2"/>
          <w:sz w:val="32"/>
          <w:szCs w:val="32"/>
        </w:rPr>
        <w:t>4</w:t>
      </w:r>
      <w:r>
        <w:rPr>
          <w:rFonts w:hint="default" w:ascii="仿宋_GB2312" w:hAnsi="Times New Roman" w:eastAsia="仿宋_GB2312" w:cs="仿宋_GB2312"/>
          <w:kern w:val="2"/>
          <w:sz w:val="32"/>
          <w:szCs w:val="32"/>
        </w:rPr>
        <w:t>名以上能够熟悉地形、有丰富野外生存生活经验的当地护林员或居民带领下开展川金丝猴的活动特点和调查地区的地形地势特征合理布设样线。</w:t>
      </w:r>
    </w:p>
    <w:p>
      <w:pPr>
        <w:keepNext w:val="0"/>
        <w:keepLines w:val="0"/>
        <w:widowControl w:val="0"/>
        <w:numPr>
          <w:ilvl w:val="0"/>
          <w:numId w:val="17"/>
        </w:numPr>
        <w:suppressLineNumbers w:val="0"/>
        <w:autoSpaceDE w:val="0"/>
        <w:autoSpaceDN/>
        <w:spacing w:before="0" w:beforeAutospacing="0" w:after="0" w:afterAutospacing="0" w:line="480" w:lineRule="atLeas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spacing w:before="0" w:beforeAutospacing="0" w:after="0" w:afterAutospacing="0" w:line="480" w:lineRule="atLeast"/>
        <w:ind w:left="0" w:right="0" w:firstLine="640" w:firstLineChars="20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我局保护处安排专人负责对本项目进行了全过程监督管理，；在项目执行前后，无人员违法违纪情况发生。项目已按实施方案要求完成，不存在超概算、自行扩大规模、提高标准和计划外项目等情况，项目管理规范，项目进度管理情况良好，</w:t>
      </w:r>
    </w:p>
    <w:p>
      <w:pPr>
        <w:keepNext w:val="0"/>
        <w:keepLines w:val="0"/>
        <w:widowControl w:val="0"/>
        <w:numPr>
          <w:ilvl w:val="0"/>
          <w:numId w:val="17"/>
        </w:numPr>
        <w:suppressLineNumbers w:val="0"/>
        <w:autoSpaceDE w:val="0"/>
        <w:autoSpaceDN/>
        <w:adjustRightInd w:val="0"/>
        <w:snapToGrid w:val="0"/>
        <w:spacing w:before="0" w:beforeAutospacing="0" w:after="0" w:afterAutospacing="0" w:line="600" w:lineRule="exact"/>
        <w:ind w:left="0" w:leftChars="0" w:right="0" w:firstLine="720" w:firstLineChars="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项目监管情况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我局保护处安排专人负责对本项目进行了全过程监督管理。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Times New Roman"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仿宋_GB2312" w:hAnsi="Calibri" w:eastAsia="仿宋_GB2312" w:cs="仿宋_GB2312"/>
          <w:kern w:val="2"/>
          <w:sz w:val="32"/>
          <w:szCs w:val="32"/>
          <w:lang w:val="en-US" w:eastAsia="zh-CN" w:bidi="ar"/>
        </w:rPr>
        <w:t>项目由我局保护处人员与公司先后组成40余人次专业调查队伍前往保护区开展野外调查工作，并安装红外相机40个，同时对上一次野外调查获得的红外相机影像数据对部分点位进行调整和增加。累计完成25条调查样线的调查工作，共收回37个相机点位的红外数据，完成了50个红个相机的安放及换卡换电池工作。调查人员通过对收回的红外相机影像数据，获取大量的川金丝猴影像数据和许多其他珍稀野生动物的影像资料。</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autoSpaceDE w:val="0"/>
        <w:autoSpaceDN/>
        <w:spacing w:before="0" w:beforeAutospacing="0" w:after="0" w:afterAutospacing="0" w:line="480" w:lineRule="atLeast"/>
        <w:ind w:left="0" w:right="0" w:firstLine="640" w:firstLineChars="200"/>
        <w:jc w:val="both"/>
        <w:rPr>
          <w:rFonts w:hint="default" w:ascii="仿宋_GB2312" w:hAnsi="Calibri" w:eastAsia="仿宋_GB2312" w:cs="宋体"/>
          <w:kern w:val="2"/>
          <w:sz w:val="32"/>
          <w:szCs w:val="32"/>
        </w:rPr>
      </w:pPr>
      <w:r>
        <w:rPr>
          <w:rFonts w:hint="default" w:ascii="仿宋_GB2312" w:hAnsi="Calibri" w:eastAsia="仿宋_GB2312" w:cs="仿宋_GB2312"/>
          <w:kern w:val="2"/>
          <w:sz w:val="32"/>
          <w:szCs w:val="32"/>
          <w:lang w:val="en-US" w:eastAsia="zh-CN" w:bidi="ar"/>
        </w:rPr>
        <w:t>项目的实施能有效掌握保护区内川金丝猴种群数量、分布及栖息地等相关情况，并为川金丝猴保护策略的制定提供基础数据，进一步加大保护区资源有效管护力度，保护自然资源和生物多样性，为实现保护区长远保护、管理与发展总目标奠定坚实基础。</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spacing w:before="0" w:beforeAutospacing="0" w:after="0" w:afterAutospacing="0" w:line="480" w:lineRule="atLeast"/>
        <w:ind w:left="0" w:right="0" w:firstLine="640" w:firstLineChars="200"/>
        <w:jc w:val="both"/>
        <w:rPr>
          <w:rFonts w:hint="default" w:ascii="仿宋_GB2312" w:hAnsi="宋体" w:eastAsia="仿宋_GB2312" w:cs="Times New Roman"/>
          <w:kern w:val="2"/>
          <w:sz w:val="32"/>
          <w:szCs w:val="32"/>
        </w:rPr>
      </w:pPr>
      <w:r>
        <w:rPr>
          <w:rFonts w:hint="default" w:ascii="仿宋_GB2312" w:hAnsi="Calibri" w:eastAsia="仿宋_GB2312" w:cs="仿宋_GB2312"/>
          <w:kern w:val="2"/>
          <w:sz w:val="32"/>
          <w:szCs w:val="32"/>
          <w:lang w:val="en-US" w:eastAsia="zh-CN" w:bidi="ar"/>
        </w:rPr>
        <w:t>该项目的实施对景区内川金丝猴的种群数量、分布及栖息地等相关情况有了一定的了解，达到了预期效果。综上项目自评得分90分。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对野生动植物资金投入较少。</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仿宋_GB2312" w:hAnsi="宋体" w:eastAsia="仿宋_GB2312" w:cs="仿宋_GB2312"/>
          <w:kern w:val="2"/>
          <w:sz w:val="32"/>
          <w:szCs w:val="32"/>
          <w:lang w:val="en-US" w:eastAsia="zh-CN" w:bidi="ar"/>
        </w:rPr>
      </w:pPr>
      <w:r>
        <w:rPr>
          <w:rFonts w:hint="default" w:ascii="仿宋_GB2312" w:hAnsi="宋体" w:eastAsia="仿宋_GB2312" w:cs="仿宋_GB2312"/>
          <w:kern w:val="2"/>
          <w:sz w:val="32"/>
          <w:szCs w:val="32"/>
          <w:lang w:val="en-US" w:eastAsia="zh-CN" w:bidi="ar"/>
        </w:rPr>
        <w:t>加大对野生动植物资金的投入。</w:t>
      </w:r>
    </w:p>
    <w:p>
      <w:pPr>
        <w:pStyle w:val="2"/>
        <w:rPr>
          <w:rFonts w:hint="default"/>
        </w:rPr>
      </w:pPr>
    </w:p>
    <w:p>
      <w:pPr>
        <w:pStyle w:val="2"/>
        <w:rPr>
          <w:rStyle w:val="12"/>
          <w:rFonts w:hint="eastAsia" w:ascii="黑体" w:hAnsi="黑体" w:eastAsia="黑体" w:cs="Times New Roman"/>
          <w:b w:val="0"/>
          <w:color w:val="auto"/>
          <w:sz w:val="32"/>
          <w:szCs w:val="32"/>
          <w:lang w:val="en-US" w:eastAsia="zh-CN" w:bidi="ar-SA"/>
        </w:rPr>
      </w:pPr>
      <w:r>
        <w:rPr>
          <w:rStyle w:val="12"/>
          <w:rFonts w:hint="eastAsia" w:ascii="黑体" w:hAnsi="黑体" w:eastAsia="黑体" w:cs="Times New Roman"/>
          <w:b w:val="0"/>
          <w:color w:val="auto"/>
          <w:sz w:val="32"/>
          <w:szCs w:val="32"/>
          <w:lang w:val="en-US" w:eastAsia="zh-CN" w:bidi="ar-SA"/>
        </w:rPr>
        <w:t>附件8</w:t>
      </w:r>
    </w:p>
    <w:p>
      <w:pPr>
        <w:pStyle w:val="2"/>
        <w:rPr>
          <w:rFonts w:hint="eastAsia" w:ascii="仿宋" w:hAnsi="仿宋" w:eastAsia="仿宋" w:cs="仿宋"/>
          <w:i w:val="0"/>
          <w:caps w:val="0"/>
          <w:color w:val="auto"/>
          <w:spacing w:val="0"/>
          <w:kern w:val="2"/>
          <w:sz w:val="32"/>
          <w:szCs w:val="32"/>
          <w:shd w:val="clear" w:fill="FFFFFF"/>
          <w:lang w:val="en-US" w:eastAsia="zh-CN" w:bidi="ar-SA"/>
        </w:rPr>
      </w:pP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达古冰川管理局</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黑体"/>
          <w:color w:val="000000"/>
          <w:kern w:val="0"/>
          <w:sz w:val="44"/>
          <w:szCs w:val="44"/>
          <w:lang w:val="en-US" w:eastAsia="zh-CN" w:bidi="ar"/>
        </w:rPr>
        <w:t>职工培训项目支出绩效自评报告</w:t>
      </w:r>
    </w:p>
    <w:p>
      <w:pPr>
        <w:pStyle w:val="7"/>
        <w:keepNext w:val="0"/>
        <w:keepLines w:val="0"/>
        <w:widowControl w:val="0"/>
        <w:suppressLineNumbers w:val="0"/>
        <w:autoSpaceDE w:val="0"/>
        <w:autoSpaceDN/>
        <w:spacing w:before="0" w:beforeAutospacing="0" w:after="0" w:afterAutospacing="0" w:line="600" w:lineRule="exact"/>
        <w:ind w:left="0" w:right="0" w:firstLine="640"/>
        <w:jc w:val="center"/>
        <w:rPr>
          <w:rFonts w:hint="eastAsia" w:ascii="黑体" w:hAnsi="宋体" w:eastAsia="黑体" w:cs="Times New Roman"/>
          <w:color w:val="000000"/>
          <w:kern w:val="0"/>
          <w:sz w:val="44"/>
          <w:szCs w:val="44"/>
        </w:rPr>
      </w:pPr>
      <w:r>
        <w:rPr>
          <w:rFonts w:hint="eastAsia" w:ascii="黑体" w:hAnsi="宋体" w:eastAsia="黑体" w:cs="Times New Roman"/>
          <w:color w:val="000000"/>
          <w:kern w:val="0"/>
          <w:sz w:val="44"/>
          <w:szCs w:val="4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一、项目概况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（一）项目基本情况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仿宋" w:eastAsia="仿宋_GB2312" w:cs="仿宋"/>
          <w:kern w:val="2"/>
          <w:sz w:val="32"/>
          <w:szCs w:val="32"/>
        </w:rPr>
      </w:pPr>
      <w:r>
        <w:rPr>
          <w:rFonts w:hint="default" w:ascii="仿宋_GB2312" w:hAnsi="Times New Roman" w:eastAsia="仿宋_GB2312" w:cs="仿宋_GB2312"/>
          <w:kern w:val="2"/>
          <w:sz w:val="32"/>
          <w:szCs w:val="32"/>
          <w:lang w:val="en-US" w:eastAsia="zh-CN" w:bidi="ar"/>
        </w:rPr>
        <w:t>为迎接中国共产党百年华诞，扎实推进党史学习教育，</w:t>
      </w:r>
      <w:r>
        <w:rPr>
          <w:rFonts w:hint="default" w:ascii="仿宋_GB2312" w:hAnsi="Times New Roman" w:eastAsia="仿宋_GB2312" w:cs="仿宋_GB2312"/>
          <w:color w:val="000000"/>
          <w:kern w:val="0"/>
          <w:sz w:val="32"/>
          <w:szCs w:val="32"/>
          <w:lang w:val="en-US" w:eastAsia="zh-CN" w:bidi="ar"/>
        </w:rPr>
        <w:t>教育引导全局党员干部职工学党史、悟思想、办实事、开新局，从党史中汲取精神养分，从党史中汲取奋进力量，不忘初心、牢记使命、</w:t>
      </w:r>
      <w:r>
        <w:rPr>
          <w:rFonts w:hint="default" w:ascii="仿宋_GB2312" w:hAnsi="Times New Roman" w:eastAsia="仿宋_GB2312" w:cs="仿宋_GB2312"/>
          <w:kern w:val="2"/>
          <w:sz w:val="32"/>
          <w:szCs w:val="32"/>
          <w:lang w:val="en-US" w:eastAsia="zh-CN" w:bidi="ar"/>
        </w:rPr>
        <w:t>铭恩奋进，</w:t>
      </w:r>
      <w:r>
        <w:rPr>
          <w:rFonts w:hint="default" w:ascii="仿宋_GB2312" w:hAnsi="Times New Roman" w:eastAsia="仿宋_GB2312" w:cs="仿宋_GB2312"/>
          <w:color w:val="000000"/>
          <w:kern w:val="0"/>
          <w:sz w:val="32"/>
          <w:szCs w:val="32"/>
          <w:lang w:val="en-US" w:eastAsia="zh-CN" w:bidi="ar"/>
        </w:rPr>
        <w:t>推进实际工作的能力水平</w:t>
      </w:r>
      <w:r>
        <w:rPr>
          <w:rFonts w:hint="default" w:ascii="仿宋_GB2312" w:hAnsi="仿宋" w:eastAsia="仿宋_GB2312" w:cs="仿宋_GB2312"/>
          <w:kern w:val="2"/>
          <w:sz w:val="32"/>
          <w:szCs w:val="32"/>
          <w:lang w:val="en-US" w:eastAsia="zh-CN" w:bidi="ar"/>
        </w:rPr>
        <w:t>。</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（二）项目绩效目标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1．项目主要内容。全局干部职工坚定信仰信念；坚持运用唯物史观准确认识和保护历史；全面、历史、辩证、客观的看待历史；从党史中汲取奋进力量，不忘初心、牢记使命、铭恩奋进，不断增强自身政治判断力、政治领悟力、政治执行力；提高自身党性修养，践履知行合一，学史明理、增信、崇德、力行，切实提升应对风险挑战、推进实际工作的能力水平培训。</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2．全员职工计划培训80人次，分两期培训，每期计划培训40人次，采取理论教学与实地考察相结合的方式。</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3．申报内容与实际相符，申报目标合理可行。</w:t>
      </w:r>
    </w:p>
    <w:p>
      <w:pPr>
        <w:keepNext w:val="0"/>
        <w:keepLines w:val="0"/>
        <w:widowControl w:val="0"/>
        <w:numPr>
          <w:ilvl w:val="0"/>
          <w:numId w:val="18"/>
        </w:numPr>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项目自评步骤及方法</w:t>
      </w:r>
    </w:p>
    <w:p>
      <w:pPr>
        <w:pStyle w:val="7"/>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eastAsia" w:ascii="仿宋_GB2312" w:hAnsi="宋体" w:eastAsia="宋体" w:cs="宋体"/>
          <w:color w:val="000000"/>
          <w:sz w:val="24"/>
          <w:szCs w:val="24"/>
        </w:rPr>
      </w:pPr>
      <w:r>
        <w:rPr>
          <w:rFonts w:hint="default" w:ascii="仿宋_GB2312" w:hAnsi="宋体" w:eastAsia="仿宋_GB2312" w:cs="仿宋_GB2312"/>
          <w:color w:val="000000"/>
          <w:kern w:val="2"/>
          <w:sz w:val="32"/>
          <w:szCs w:val="32"/>
          <w:lang w:val="en-US" w:eastAsia="zh-CN" w:bidi="ar"/>
        </w:rPr>
        <w:t>我局按照阿州财监绩【2022】14号文件要求，单位绩效评价小组选取支付资金量较大的项目作为评价对象，评价小组对照《2022年州级专项预算项目支出绩效评价指标体系》设定每项专项预算项目特性指标和个性指标，由评价小组向项目所属处室下达绩效评价通知，由项目所属处室完成项目初步自评工作并交评价小组，再由评价小组会同项目处室开展项目绩效评价自评工作，并形成项目绩效评价报告。</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二、项目资金申报及使用情况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（一）项目资金申报及批复情况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2021年培训费年初部门预算申报及批复安排30万元，用于达古冰川2021年“党史教育”专题培训。</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楷体_GB2312" w:hAnsi="宋体" w:eastAsia="楷体_GB2312" w:cs="楷体_GB2312"/>
          <w:b/>
          <w:bCs w:val="0"/>
          <w:kern w:val="2"/>
          <w:sz w:val="32"/>
          <w:szCs w:val="32"/>
          <w:lang w:val="en-US" w:eastAsia="zh-CN" w:bidi="ar"/>
        </w:rPr>
        <w:t>（二）资金计划、到位及使用情况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kern w:val="2"/>
          <w:sz w:val="32"/>
          <w:szCs w:val="32"/>
        </w:rPr>
      </w:pPr>
      <w:r>
        <w:rPr>
          <w:rFonts w:hint="default" w:ascii="楷体_GB2312" w:hAnsi="宋体" w:eastAsia="楷体_GB2312" w:cs="楷体_GB2312"/>
          <w:kern w:val="2"/>
          <w:sz w:val="32"/>
          <w:szCs w:val="32"/>
          <w:lang w:val="en-US" w:eastAsia="zh-CN" w:bidi="ar"/>
        </w:rPr>
        <w:t>1．资金计划及到位：</w:t>
      </w:r>
      <w:r>
        <w:rPr>
          <w:rFonts w:hint="default" w:ascii="仿宋_GB2312" w:hAnsi="宋体" w:eastAsia="仿宋_GB2312" w:cs="仿宋_GB2312"/>
          <w:kern w:val="2"/>
          <w:sz w:val="32"/>
          <w:szCs w:val="32"/>
          <w:lang w:val="en-US" w:eastAsia="zh-CN" w:bidi="ar"/>
        </w:rPr>
        <w:t>2021年培训费年初部门预算申报30万元，到位30万元，到位率100%。</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楷体_GB2312" w:cs="Times New Roman"/>
          <w:kern w:val="2"/>
          <w:sz w:val="32"/>
          <w:szCs w:val="32"/>
        </w:rPr>
      </w:pPr>
      <w:r>
        <w:rPr>
          <w:rFonts w:hint="default" w:ascii="楷体_GB2312" w:hAnsi="宋体" w:eastAsia="楷体_GB2312" w:cs="楷体_GB2312"/>
          <w:kern w:val="2"/>
          <w:sz w:val="32"/>
          <w:szCs w:val="32"/>
          <w:lang w:val="en-US" w:eastAsia="zh-CN" w:bidi="ar"/>
        </w:rPr>
        <w:t>2．资金使用。</w:t>
      </w:r>
      <w:r>
        <w:rPr>
          <w:rFonts w:hint="default" w:ascii="仿宋_GB2312" w:hAnsi="宋体" w:eastAsia="仿宋_GB2312" w:cs="仿宋_GB2312"/>
          <w:kern w:val="2"/>
          <w:sz w:val="32"/>
          <w:szCs w:val="32"/>
          <w:lang w:val="en-US" w:eastAsia="zh-CN" w:bidi="ar"/>
        </w:rPr>
        <w:t>2021年培训项目计划培训80人，中标金额为288,000.00元，分两期实际培训72人，支付资金260,640.00元。支付率86.88%,结余资金收回财政。</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（三）项目财务管理情况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该项目单位财务管理制度健全，项目资金做到专款专用，支付依据合法合规，账务处理及时，会计核算规范。</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三、项目实施及管理情况</w:t>
      </w:r>
    </w:p>
    <w:p>
      <w:pPr>
        <w:keepNext w:val="0"/>
        <w:keepLines w:val="0"/>
        <w:widowControl w:val="0"/>
        <w:suppressLineNumbers w:val="0"/>
        <w:autoSpaceDE w:val="0"/>
        <w:autoSpaceDN/>
        <w:snapToGrid w:val="0"/>
        <w:spacing w:before="0" w:beforeAutospacing="0" w:after="0" w:afterAutospacing="0" w:line="600" w:lineRule="exac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（一）项目组织架构及实施流程</w:t>
      </w:r>
    </w:p>
    <w:p>
      <w:pPr>
        <w:keepNext w:val="0"/>
        <w:keepLines w:val="0"/>
        <w:widowControl w:val="0"/>
        <w:suppressLineNumbers w:val="0"/>
        <w:autoSpaceDE w:val="0"/>
        <w:autoSpaceDN/>
        <w:snapToGrid w:val="0"/>
        <w:spacing w:before="0" w:beforeAutospacing="0" w:after="0" w:afterAutospacing="0" w:line="600" w:lineRule="exact"/>
        <w:ind w:left="0" w:right="0" w:firstLine="640" w:firstLineChars="200"/>
        <w:jc w:val="both"/>
        <w:rPr>
          <w:rFonts w:hint="default" w:ascii="楷体_GB2312" w:hAnsi="宋体" w:eastAsia="楷体_GB2312" w:cs="Times New Roman"/>
          <w:b/>
          <w:bCs w:val="0"/>
          <w:kern w:val="2"/>
          <w:sz w:val="32"/>
          <w:szCs w:val="32"/>
        </w:rPr>
      </w:pPr>
      <w:r>
        <w:rPr>
          <w:rFonts w:hint="default" w:ascii="仿宋_GB2312" w:hAnsi="宋体" w:eastAsia="仿宋_GB2312" w:cs="仿宋_GB2312"/>
          <w:kern w:val="2"/>
          <w:sz w:val="32"/>
          <w:szCs w:val="32"/>
          <w:lang w:val="en-US" w:eastAsia="zh-CN" w:bidi="ar"/>
        </w:rPr>
        <w:t>该项目于2021年8月通过竞争性磋商方式，确定四川华西职业培训学校中标单位。</w:t>
      </w:r>
      <w:r>
        <w:rPr>
          <w:rFonts w:hint="eastAsia" w:ascii="仿宋" w:hAnsi="仿宋" w:eastAsia="仿宋" w:cs="仿宋"/>
          <w:kern w:val="2"/>
          <w:sz w:val="32"/>
          <w:szCs w:val="32"/>
          <w:lang w:val="en-US" w:eastAsia="zh-CN" w:bidi="ar"/>
        </w:rPr>
        <w:t>中标单位确定后，我局组织人事处，积极与中标培训机构磋商，落实疫情防控、培训内容、人员安全、交通、食宿等具体事项，12月5日完成该项目的全部培训项目。</w:t>
      </w:r>
    </w:p>
    <w:p>
      <w:pPr>
        <w:keepNext w:val="0"/>
        <w:keepLines w:val="0"/>
        <w:widowControl w:val="0"/>
        <w:numPr>
          <w:ilvl w:val="0"/>
          <w:numId w:val="19"/>
        </w:numPr>
        <w:suppressLineNumbers w:val="0"/>
        <w:autoSpaceDE w:val="0"/>
        <w:autoSpaceDN/>
        <w:adjustRightInd w:val="0"/>
        <w:snapToGrid w:val="0"/>
        <w:spacing w:before="0" w:beforeAutospacing="0" w:after="0" w:afterAutospacing="0" w:line="600" w:lineRule="exact"/>
        <w:ind w:left="0" w:right="0" w:firstLine="643" w:firstLineChars="20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项目管理情况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该项目严格按照政府采购流程进行招投标。</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eastAsia" w:ascii="黑体" w:hAnsi="宋体" w:eastAsia="黑体" w:cs="黑体"/>
          <w:kern w:val="2"/>
          <w:sz w:val="32"/>
          <w:szCs w:val="32"/>
          <w:lang w:val="en-US" w:eastAsia="zh-CN" w:bidi="ar"/>
        </w:rPr>
        <w:t>四、项目绩效情况</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（一）项目完成情况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项目按照计划，分两期，采取理论教学与实地考察相结合的培训方式，完成预期培训任务，参加培训人员共计72人。</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（二）项目效益情况</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该项目的实施提升了职工整体素质教育，</w:t>
      </w:r>
      <w:r>
        <w:rPr>
          <w:rFonts w:hint="default" w:ascii="仿宋_GB2312" w:hAnsi="Times New Roman" w:eastAsia="仿宋_GB2312" w:cs="仿宋_GB2312"/>
          <w:color w:val="000000"/>
          <w:kern w:val="0"/>
          <w:sz w:val="32"/>
          <w:szCs w:val="32"/>
          <w:lang w:val="en-US" w:eastAsia="zh-CN" w:bidi="ar"/>
        </w:rPr>
        <w:t>从党史中汲取精神养分，从党史中汲取奋进力量，不忘初心、牢记使命、</w:t>
      </w:r>
      <w:r>
        <w:rPr>
          <w:rFonts w:hint="default" w:ascii="仿宋_GB2312" w:hAnsi="Times New Roman" w:eastAsia="仿宋_GB2312" w:cs="仿宋_GB2312"/>
          <w:kern w:val="2"/>
          <w:sz w:val="32"/>
          <w:szCs w:val="32"/>
          <w:lang w:val="en-US" w:eastAsia="zh-CN" w:bidi="ar"/>
        </w:rPr>
        <w:t>铭恩奋进，</w:t>
      </w:r>
      <w:r>
        <w:rPr>
          <w:rFonts w:hint="default" w:ascii="仿宋_GB2312" w:hAnsi="Times New Roman" w:eastAsia="仿宋_GB2312" w:cs="仿宋_GB2312"/>
          <w:color w:val="000000"/>
          <w:kern w:val="0"/>
          <w:sz w:val="32"/>
          <w:szCs w:val="32"/>
          <w:lang w:val="en-US" w:eastAsia="zh-CN" w:bidi="ar"/>
        </w:rPr>
        <w:t>推进实际工作的能力水平</w:t>
      </w:r>
      <w:r>
        <w:rPr>
          <w:rFonts w:hint="default" w:ascii="仿宋_GB2312" w:hAnsi="仿宋" w:eastAsia="仿宋_GB2312" w:cs="仿宋_GB2312"/>
          <w:kern w:val="2"/>
          <w:sz w:val="32"/>
          <w:szCs w:val="32"/>
          <w:lang w:val="en-US" w:eastAsia="zh-CN" w:bidi="ar"/>
        </w:rPr>
        <w:t>，</w:t>
      </w:r>
      <w:r>
        <w:rPr>
          <w:rFonts w:hint="default" w:ascii="仿宋_GB2312" w:hAnsi="宋体" w:eastAsia="仿宋_GB2312" w:cs="仿宋_GB2312"/>
          <w:kern w:val="2"/>
          <w:sz w:val="32"/>
          <w:szCs w:val="32"/>
          <w:lang w:val="en-US" w:eastAsia="zh-CN" w:bidi="ar"/>
        </w:rPr>
        <w:t>更好的服务游客。</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eastAsia" w:ascii="黑体" w:hAnsi="宋体" w:eastAsia="黑体" w:cs="Times New Roman"/>
          <w:kern w:val="2"/>
          <w:sz w:val="32"/>
          <w:szCs w:val="32"/>
        </w:rPr>
      </w:pPr>
      <w:r>
        <w:rPr>
          <w:rFonts w:hint="eastAsia" w:ascii="黑体" w:hAnsi="宋体" w:eastAsia="黑体" w:cs="黑体"/>
          <w:kern w:val="2"/>
          <w:sz w:val="32"/>
          <w:szCs w:val="32"/>
          <w:lang w:val="en-US" w:eastAsia="zh-CN" w:bidi="ar"/>
        </w:rPr>
        <w:t>五、评价结论及建议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（一）评价结论</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Times New Roman" w:hAnsi="Times New Roman" w:eastAsia="仿宋_GB2312" w:cs="Times New Roman"/>
          <w:color w:val="000000"/>
          <w:kern w:val="0"/>
          <w:sz w:val="32"/>
          <w:szCs w:val="32"/>
        </w:rPr>
      </w:pPr>
      <w:r>
        <w:rPr>
          <w:rFonts w:hint="default" w:ascii="仿宋_GB2312" w:hAnsi="Times New Roman" w:eastAsia="仿宋_GB2312" w:cs="仿宋_GB2312"/>
          <w:color w:val="000000"/>
          <w:kern w:val="0"/>
          <w:sz w:val="32"/>
          <w:szCs w:val="32"/>
          <w:lang w:val="en-US" w:eastAsia="zh-CN" w:bidi="ar"/>
        </w:rPr>
        <w:t>该项目的实施提升了职工整体素质教育，更好的服务游客。该培训项目绩效评价得分为</w:t>
      </w:r>
      <w:r>
        <w:rPr>
          <w:rFonts w:hint="default" w:ascii="Times New Roman" w:hAnsi="Times New Roman" w:eastAsia="仿宋_GB2312" w:cs="Times New Roman"/>
          <w:color w:val="000000"/>
          <w:kern w:val="0"/>
          <w:sz w:val="32"/>
          <w:szCs w:val="32"/>
          <w:lang w:val="en-US" w:eastAsia="zh-CN" w:bidi="ar"/>
        </w:rPr>
        <w:t>93.3</w:t>
      </w:r>
      <w:r>
        <w:rPr>
          <w:rFonts w:hint="default" w:ascii="仿宋_GB2312" w:hAnsi="Times New Roman" w:eastAsia="仿宋_GB2312" w:cs="仿宋_GB2312"/>
          <w:color w:val="000000"/>
          <w:kern w:val="0"/>
          <w:sz w:val="32"/>
          <w:szCs w:val="32"/>
          <w:lang w:val="en-US" w:eastAsia="zh-CN" w:bidi="ar"/>
        </w:rPr>
        <w:t>分。</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（二）存在的问题</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_GB2312" w:hAnsi="宋体" w:eastAsia="仿宋_GB2312" w:cs="Times New Roman"/>
          <w:kern w:val="2"/>
          <w:sz w:val="32"/>
          <w:szCs w:val="32"/>
        </w:rPr>
      </w:pPr>
      <w:r>
        <w:rPr>
          <w:rFonts w:hint="default" w:ascii="仿宋_GB2312" w:hAnsi="宋体" w:eastAsia="仿宋_GB2312" w:cs="仿宋_GB2312"/>
          <w:kern w:val="2"/>
          <w:sz w:val="32"/>
          <w:szCs w:val="32"/>
          <w:lang w:val="en-US" w:eastAsia="zh-CN" w:bidi="ar"/>
        </w:rPr>
        <w:t>无。</w:t>
      </w:r>
      <w:r>
        <w:rPr>
          <w:rFonts w:hint="default" w:ascii="仿宋_GB2312" w:hAnsi="宋体" w:eastAsia="仿宋_GB2312" w:cs="Times New Roman"/>
          <w:kern w:val="2"/>
          <w:sz w:val="32"/>
          <w:szCs w:val="32"/>
          <w:lang w:val="en-US" w:eastAsia="zh-CN" w:bidi="ar"/>
        </w:rPr>
        <w:tab/>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720"/>
        <w:jc w:val="both"/>
        <w:rPr>
          <w:rFonts w:hint="default" w:ascii="楷体_GB2312" w:hAnsi="宋体" w:eastAsia="楷体_GB2312" w:cs="Times New Roman"/>
          <w:b/>
          <w:bCs w:val="0"/>
          <w:kern w:val="2"/>
          <w:sz w:val="32"/>
          <w:szCs w:val="32"/>
        </w:rPr>
      </w:pPr>
      <w:r>
        <w:rPr>
          <w:rFonts w:hint="default" w:ascii="楷体_GB2312" w:hAnsi="宋体" w:eastAsia="楷体_GB2312" w:cs="楷体_GB2312"/>
          <w:b/>
          <w:bCs w:val="0"/>
          <w:kern w:val="2"/>
          <w:sz w:val="32"/>
          <w:szCs w:val="32"/>
          <w:lang w:val="en-US" w:eastAsia="zh-CN" w:bidi="ar"/>
        </w:rPr>
        <w:t>（三）相关建议</w:t>
      </w:r>
    </w:p>
    <w:p>
      <w:pPr>
        <w:keepNext w:val="0"/>
        <w:keepLines w:val="0"/>
        <w:widowControl w:val="0"/>
        <w:suppressLineNumbers w:val="0"/>
        <w:autoSpaceDE w:val="0"/>
        <w:autoSpaceDN/>
        <w:adjustRightInd w:val="0"/>
        <w:snapToGrid w:val="0"/>
        <w:spacing w:before="0" w:beforeAutospacing="0" w:after="0" w:afterAutospacing="0" w:line="600" w:lineRule="exact"/>
        <w:ind w:left="0" w:right="0" w:firstLine="640" w:firstLineChars="200"/>
        <w:jc w:val="both"/>
        <w:rPr>
          <w:rFonts w:hint="default" w:ascii="仿宋" w:hAnsi="仿宋" w:eastAsia="仿宋" w:cs="仿宋"/>
          <w:i w:val="0"/>
          <w:caps w:val="0"/>
          <w:color w:val="auto"/>
          <w:spacing w:val="0"/>
          <w:kern w:val="2"/>
          <w:sz w:val="32"/>
          <w:szCs w:val="32"/>
          <w:shd w:val="clear" w:fill="FFFFFF"/>
          <w:lang w:val="en-US" w:eastAsia="zh-CN" w:bidi="ar-SA"/>
        </w:rPr>
      </w:pPr>
      <w:r>
        <w:rPr>
          <w:rFonts w:hint="default" w:ascii="仿宋_GB2312" w:hAnsi="宋体" w:eastAsia="仿宋_GB2312" w:cs="仿宋_GB2312"/>
          <w:kern w:val="2"/>
          <w:sz w:val="32"/>
          <w:szCs w:val="32"/>
          <w:lang w:val="en-US" w:eastAsia="zh-CN" w:bidi="ar"/>
        </w:rPr>
        <w:t>无。</w:t>
      </w:r>
    </w:p>
    <w:p>
      <w:pPr>
        <w:pStyle w:val="2"/>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ZXBSJW--GB1-0">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B13FD"/>
    <w:multiLevelType w:val="singleLevel"/>
    <w:tmpl w:val="8BCB13FD"/>
    <w:lvl w:ilvl="0" w:tentative="0">
      <w:start w:val="1"/>
      <w:numFmt w:val="chineseCounting"/>
      <w:suff w:val="space"/>
      <w:lvlText w:val="第%1部分"/>
      <w:lvlJc w:val="left"/>
      <w:rPr>
        <w:rFonts w:hint="eastAsia"/>
        <w:sz w:val="32"/>
        <w:szCs w:val="32"/>
      </w:rPr>
    </w:lvl>
  </w:abstractNum>
  <w:abstractNum w:abstractNumId="1">
    <w:nsid w:val="93CBF40C"/>
    <w:multiLevelType w:val="multilevel"/>
    <w:tmpl w:val="93CBF40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A02C68B8"/>
    <w:multiLevelType w:val="multilevel"/>
    <w:tmpl w:val="A02C68B8"/>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A2F98B7A"/>
    <w:multiLevelType w:val="multilevel"/>
    <w:tmpl w:val="A2F98B7A"/>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B6E4ADA9"/>
    <w:multiLevelType w:val="multilevel"/>
    <w:tmpl w:val="B6E4ADA9"/>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B761BBE0"/>
    <w:multiLevelType w:val="singleLevel"/>
    <w:tmpl w:val="B761BBE0"/>
    <w:lvl w:ilvl="0" w:tentative="0">
      <w:start w:val="4"/>
      <w:numFmt w:val="chineseCounting"/>
      <w:suff w:val="space"/>
      <w:lvlText w:val="第%1部分"/>
      <w:lvlJc w:val="left"/>
      <w:rPr>
        <w:rFonts w:hint="eastAsia"/>
      </w:rPr>
    </w:lvl>
  </w:abstractNum>
  <w:abstractNum w:abstractNumId="6">
    <w:nsid w:val="C5E30CA4"/>
    <w:multiLevelType w:val="multilevel"/>
    <w:tmpl w:val="C5E30CA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DC9AA618"/>
    <w:multiLevelType w:val="singleLevel"/>
    <w:tmpl w:val="DC9AA618"/>
    <w:lvl w:ilvl="0" w:tentative="0">
      <w:start w:val="1"/>
      <w:numFmt w:val="chineseCounting"/>
      <w:suff w:val="space"/>
      <w:lvlText w:val="第%1部分"/>
      <w:lvlJc w:val="left"/>
      <w:rPr>
        <w:rFonts w:hint="eastAsia"/>
      </w:rPr>
    </w:lvl>
  </w:abstractNum>
  <w:abstractNum w:abstractNumId="8">
    <w:nsid w:val="E397783F"/>
    <w:multiLevelType w:val="multilevel"/>
    <w:tmpl w:val="E397783F"/>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051AA658"/>
    <w:multiLevelType w:val="multilevel"/>
    <w:tmpl w:val="051AA658"/>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0EEAFE4E"/>
    <w:multiLevelType w:val="multilevel"/>
    <w:tmpl w:val="0EEAFE4E"/>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1019D61C"/>
    <w:multiLevelType w:val="singleLevel"/>
    <w:tmpl w:val="1019D61C"/>
    <w:lvl w:ilvl="0" w:tentative="0">
      <w:start w:val="3"/>
      <w:numFmt w:val="chineseCounting"/>
      <w:suff w:val="nothing"/>
      <w:lvlText w:val="%1、"/>
      <w:lvlJc w:val="left"/>
      <w:rPr>
        <w:rFonts w:hint="eastAsia"/>
      </w:rPr>
    </w:lvl>
  </w:abstractNum>
  <w:abstractNum w:abstractNumId="12">
    <w:nsid w:val="2D73846C"/>
    <w:multiLevelType w:val="singleLevel"/>
    <w:tmpl w:val="2D73846C"/>
    <w:lvl w:ilvl="0" w:tentative="0">
      <w:start w:val="2"/>
      <w:numFmt w:val="chineseCounting"/>
      <w:suff w:val="nothing"/>
      <w:lvlText w:val="（%1）"/>
      <w:lvlJc w:val="left"/>
      <w:rPr>
        <w:rFonts w:hint="eastAsia"/>
      </w:rPr>
    </w:lvl>
  </w:abstractNum>
  <w:abstractNum w:abstractNumId="13">
    <w:nsid w:val="3B7949AA"/>
    <w:multiLevelType w:val="multilevel"/>
    <w:tmpl w:val="3B7949AA"/>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3BED849F"/>
    <w:multiLevelType w:val="multilevel"/>
    <w:tmpl w:val="3BED849F"/>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46F5BE81"/>
    <w:multiLevelType w:val="multilevel"/>
    <w:tmpl w:val="46F5BE81"/>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50BFE7CC"/>
    <w:multiLevelType w:val="multilevel"/>
    <w:tmpl w:val="50BFE7CC"/>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7">
    <w:nsid w:val="585F325F"/>
    <w:multiLevelType w:val="multilevel"/>
    <w:tmpl w:val="585F325F"/>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8">
    <w:nsid w:val="6B286105"/>
    <w:multiLevelType w:val="multilevel"/>
    <w:tmpl w:val="6B286105"/>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7"/>
  </w:num>
  <w:num w:numId="3">
    <w:abstractNumId w:val="5"/>
  </w:num>
  <w:num w:numId="4">
    <w:abstractNumId w:val="12"/>
  </w:num>
  <w:num w:numId="5">
    <w:abstractNumId w:val="11"/>
  </w:num>
  <w:num w:numId="6">
    <w:abstractNumId w:val="17"/>
  </w:num>
  <w:num w:numId="7">
    <w:abstractNumId w:val="13"/>
  </w:num>
  <w:num w:numId="8">
    <w:abstractNumId w:val="18"/>
  </w:num>
  <w:num w:numId="9">
    <w:abstractNumId w:val="15"/>
  </w:num>
  <w:num w:numId="10">
    <w:abstractNumId w:val="9"/>
  </w:num>
  <w:num w:numId="11">
    <w:abstractNumId w:val="4"/>
  </w:num>
  <w:num w:numId="12">
    <w:abstractNumId w:val="2"/>
  </w:num>
  <w:num w:numId="13">
    <w:abstractNumId w:val="16"/>
  </w:num>
  <w:num w:numId="14">
    <w:abstractNumId w:val="6"/>
  </w:num>
  <w:num w:numId="15">
    <w:abstractNumId w:val="14"/>
  </w:num>
  <w:num w:numId="16">
    <w:abstractNumId w:val="10"/>
  </w:num>
  <w:num w:numId="17">
    <w:abstractNumId w:val="1"/>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OWQ4ODY3Yjc4ODM2MGIwNmJlMTczNGMwOTkyNGEifQ=="/>
  </w:docVars>
  <w:rsids>
    <w:rsidRoot w:val="00172A27"/>
    <w:rsid w:val="00043144"/>
    <w:rsid w:val="005F481F"/>
    <w:rsid w:val="00B1514B"/>
    <w:rsid w:val="00DB20F7"/>
    <w:rsid w:val="00E0770D"/>
    <w:rsid w:val="01435786"/>
    <w:rsid w:val="014F219D"/>
    <w:rsid w:val="01706922"/>
    <w:rsid w:val="0183453D"/>
    <w:rsid w:val="01B81CE2"/>
    <w:rsid w:val="021F6013"/>
    <w:rsid w:val="02441F1E"/>
    <w:rsid w:val="029F53A6"/>
    <w:rsid w:val="02DC3F04"/>
    <w:rsid w:val="02F05C02"/>
    <w:rsid w:val="032558AB"/>
    <w:rsid w:val="03B95FF4"/>
    <w:rsid w:val="03C71E1C"/>
    <w:rsid w:val="03D12A65"/>
    <w:rsid w:val="03E80687"/>
    <w:rsid w:val="03E908AF"/>
    <w:rsid w:val="03FD05D6"/>
    <w:rsid w:val="04092654"/>
    <w:rsid w:val="042E670E"/>
    <w:rsid w:val="04337BAA"/>
    <w:rsid w:val="048900BC"/>
    <w:rsid w:val="04DC4690"/>
    <w:rsid w:val="051E0804"/>
    <w:rsid w:val="065B15E4"/>
    <w:rsid w:val="0765096C"/>
    <w:rsid w:val="07D21D7A"/>
    <w:rsid w:val="07EC4BEA"/>
    <w:rsid w:val="07F25F78"/>
    <w:rsid w:val="07F341CA"/>
    <w:rsid w:val="07FE66CB"/>
    <w:rsid w:val="088F5575"/>
    <w:rsid w:val="08F33D56"/>
    <w:rsid w:val="098F7F23"/>
    <w:rsid w:val="09975029"/>
    <w:rsid w:val="0A1B7A08"/>
    <w:rsid w:val="0A747118"/>
    <w:rsid w:val="0AA479FE"/>
    <w:rsid w:val="0AB539B9"/>
    <w:rsid w:val="0AFC15E8"/>
    <w:rsid w:val="0B4D6D0F"/>
    <w:rsid w:val="0B8B296C"/>
    <w:rsid w:val="0B941820"/>
    <w:rsid w:val="0BE66F29"/>
    <w:rsid w:val="0BF202F5"/>
    <w:rsid w:val="0C2B0D05"/>
    <w:rsid w:val="0C4274CE"/>
    <w:rsid w:val="0C4843B9"/>
    <w:rsid w:val="0CA27F6D"/>
    <w:rsid w:val="0CBD4DA7"/>
    <w:rsid w:val="0CC7352F"/>
    <w:rsid w:val="0D3A1F53"/>
    <w:rsid w:val="0D584ACF"/>
    <w:rsid w:val="0E0013EF"/>
    <w:rsid w:val="0E417312"/>
    <w:rsid w:val="0E4A08BC"/>
    <w:rsid w:val="0E4F7C80"/>
    <w:rsid w:val="0E5C05EF"/>
    <w:rsid w:val="0E745939"/>
    <w:rsid w:val="0ECA5559"/>
    <w:rsid w:val="0F4946D0"/>
    <w:rsid w:val="0F9F69E6"/>
    <w:rsid w:val="103A04BC"/>
    <w:rsid w:val="10833C11"/>
    <w:rsid w:val="10F1501F"/>
    <w:rsid w:val="11164A85"/>
    <w:rsid w:val="11166833"/>
    <w:rsid w:val="11270A41"/>
    <w:rsid w:val="114F7F97"/>
    <w:rsid w:val="11675E66"/>
    <w:rsid w:val="11734DAA"/>
    <w:rsid w:val="117455D1"/>
    <w:rsid w:val="11852E6A"/>
    <w:rsid w:val="12633CFA"/>
    <w:rsid w:val="12723F3D"/>
    <w:rsid w:val="12D15108"/>
    <w:rsid w:val="13076D7C"/>
    <w:rsid w:val="132536A6"/>
    <w:rsid w:val="137F4B64"/>
    <w:rsid w:val="13914F8E"/>
    <w:rsid w:val="13A9315A"/>
    <w:rsid w:val="13CB5FFB"/>
    <w:rsid w:val="13CE33F5"/>
    <w:rsid w:val="146D0E60"/>
    <w:rsid w:val="14883EEC"/>
    <w:rsid w:val="14FE5F5C"/>
    <w:rsid w:val="153876C0"/>
    <w:rsid w:val="155B515D"/>
    <w:rsid w:val="15826B8D"/>
    <w:rsid w:val="15DB44F0"/>
    <w:rsid w:val="15DF7B3C"/>
    <w:rsid w:val="160E0421"/>
    <w:rsid w:val="165B21AF"/>
    <w:rsid w:val="165F3EC2"/>
    <w:rsid w:val="16F72C63"/>
    <w:rsid w:val="17035AAC"/>
    <w:rsid w:val="17092996"/>
    <w:rsid w:val="171657DF"/>
    <w:rsid w:val="173043C7"/>
    <w:rsid w:val="174560C4"/>
    <w:rsid w:val="177B5642"/>
    <w:rsid w:val="17DF276C"/>
    <w:rsid w:val="187C78C4"/>
    <w:rsid w:val="18D92F68"/>
    <w:rsid w:val="18EB67F8"/>
    <w:rsid w:val="18F733EE"/>
    <w:rsid w:val="190F698A"/>
    <w:rsid w:val="19104A16"/>
    <w:rsid w:val="197B401F"/>
    <w:rsid w:val="1A002777"/>
    <w:rsid w:val="1A293A7B"/>
    <w:rsid w:val="1A976C37"/>
    <w:rsid w:val="1A9F5AEC"/>
    <w:rsid w:val="1AA43102"/>
    <w:rsid w:val="1B8076CB"/>
    <w:rsid w:val="1B9118D8"/>
    <w:rsid w:val="1BA50EE0"/>
    <w:rsid w:val="1BB83309"/>
    <w:rsid w:val="1BCF0653"/>
    <w:rsid w:val="1C99656B"/>
    <w:rsid w:val="1CF10155"/>
    <w:rsid w:val="1CF163A7"/>
    <w:rsid w:val="1CF60ABD"/>
    <w:rsid w:val="1D3544E5"/>
    <w:rsid w:val="1D552DD9"/>
    <w:rsid w:val="1D7F1C04"/>
    <w:rsid w:val="1DAD0520"/>
    <w:rsid w:val="1E1E766F"/>
    <w:rsid w:val="1E3B5B2B"/>
    <w:rsid w:val="1E682698"/>
    <w:rsid w:val="1E6E73D9"/>
    <w:rsid w:val="1EB904D1"/>
    <w:rsid w:val="1EDF295B"/>
    <w:rsid w:val="1EE91A2B"/>
    <w:rsid w:val="1F933745"/>
    <w:rsid w:val="1FAA4537"/>
    <w:rsid w:val="1FD77AD6"/>
    <w:rsid w:val="1FD91AA0"/>
    <w:rsid w:val="20532850"/>
    <w:rsid w:val="21162880"/>
    <w:rsid w:val="211C60E8"/>
    <w:rsid w:val="21243936"/>
    <w:rsid w:val="214967B1"/>
    <w:rsid w:val="21505D92"/>
    <w:rsid w:val="215F5FD5"/>
    <w:rsid w:val="21671F9C"/>
    <w:rsid w:val="21747CD2"/>
    <w:rsid w:val="21BA76AF"/>
    <w:rsid w:val="21D36836"/>
    <w:rsid w:val="22BF31CF"/>
    <w:rsid w:val="22C50A45"/>
    <w:rsid w:val="22CC31F6"/>
    <w:rsid w:val="22F15352"/>
    <w:rsid w:val="231132FF"/>
    <w:rsid w:val="232079E6"/>
    <w:rsid w:val="237D0994"/>
    <w:rsid w:val="237F470C"/>
    <w:rsid w:val="23C72D33"/>
    <w:rsid w:val="23FF13A9"/>
    <w:rsid w:val="24B91EA0"/>
    <w:rsid w:val="24BB79C6"/>
    <w:rsid w:val="24BE74B6"/>
    <w:rsid w:val="24D740D4"/>
    <w:rsid w:val="24D97E4C"/>
    <w:rsid w:val="25382DC5"/>
    <w:rsid w:val="260C7C9A"/>
    <w:rsid w:val="260E3B25"/>
    <w:rsid w:val="265A320F"/>
    <w:rsid w:val="26657B47"/>
    <w:rsid w:val="269404CF"/>
    <w:rsid w:val="26A5092E"/>
    <w:rsid w:val="26D66D39"/>
    <w:rsid w:val="27716A62"/>
    <w:rsid w:val="28577A06"/>
    <w:rsid w:val="289E73E3"/>
    <w:rsid w:val="28AF15F0"/>
    <w:rsid w:val="28D21782"/>
    <w:rsid w:val="29606D8E"/>
    <w:rsid w:val="29622B06"/>
    <w:rsid w:val="29A44ECD"/>
    <w:rsid w:val="29BD5F8E"/>
    <w:rsid w:val="29C72969"/>
    <w:rsid w:val="29E654E5"/>
    <w:rsid w:val="2A41096D"/>
    <w:rsid w:val="2A495A74"/>
    <w:rsid w:val="2A703001"/>
    <w:rsid w:val="2A77438F"/>
    <w:rsid w:val="2A9071FF"/>
    <w:rsid w:val="2AAB4039"/>
    <w:rsid w:val="2ABC4498"/>
    <w:rsid w:val="2BB1567F"/>
    <w:rsid w:val="2BB4516F"/>
    <w:rsid w:val="2C0B1233"/>
    <w:rsid w:val="2C11249B"/>
    <w:rsid w:val="2C23630D"/>
    <w:rsid w:val="2C732934"/>
    <w:rsid w:val="2CB35427"/>
    <w:rsid w:val="2CDA6E57"/>
    <w:rsid w:val="2D03015C"/>
    <w:rsid w:val="2D1063D5"/>
    <w:rsid w:val="2D6055AE"/>
    <w:rsid w:val="2D6B7AAF"/>
    <w:rsid w:val="2D7828F8"/>
    <w:rsid w:val="2E7D7A9A"/>
    <w:rsid w:val="2ECD6C74"/>
    <w:rsid w:val="2ED718A0"/>
    <w:rsid w:val="2F4607D4"/>
    <w:rsid w:val="2FBE55AC"/>
    <w:rsid w:val="2FC11C09"/>
    <w:rsid w:val="301663F8"/>
    <w:rsid w:val="301F52AD"/>
    <w:rsid w:val="3071362F"/>
    <w:rsid w:val="30A9726C"/>
    <w:rsid w:val="30F06C49"/>
    <w:rsid w:val="310B75DF"/>
    <w:rsid w:val="31230DCD"/>
    <w:rsid w:val="31A6555A"/>
    <w:rsid w:val="31E85B72"/>
    <w:rsid w:val="31F664E1"/>
    <w:rsid w:val="323B0398"/>
    <w:rsid w:val="32582CF8"/>
    <w:rsid w:val="32584AA6"/>
    <w:rsid w:val="32CB34CA"/>
    <w:rsid w:val="32EB1476"/>
    <w:rsid w:val="3328091C"/>
    <w:rsid w:val="33753436"/>
    <w:rsid w:val="340D18C0"/>
    <w:rsid w:val="34390907"/>
    <w:rsid w:val="34592D57"/>
    <w:rsid w:val="34624410"/>
    <w:rsid w:val="34B01683"/>
    <w:rsid w:val="34BF2BBB"/>
    <w:rsid w:val="35064C8D"/>
    <w:rsid w:val="35245113"/>
    <w:rsid w:val="352549E8"/>
    <w:rsid w:val="356B689E"/>
    <w:rsid w:val="35BC534C"/>
    <w:rsid w:val="35FF348B"/>
    <w:rsid w:val="3627310D"/>
    <w:rsid w:val="36A41A21"/>
    <w:rsid w:val="36C7044C"/>
    <w:rsid w:val="36D14E27"/>
    <w:rsid w:val="37D921E5"/>
    <w:rsid w:val="380B25BB"/>
    <w:rsid w:val="380C4543"/>
    <w:rsid w:val="383A69FC"/>
    <w:rsid w:val="38A10829"/>
    <w:rsid w:val="38CA4224"/>
    <w:rsid w:val="38E36110"/>
    <w:rsid w:val="393A24C2"/>
    <w:rsid w:val="39B36A66"/>
    <w:rsid w:val="3A0F6392"/>
    <w:rsid w:val="3A1C0AAF"/>
    <w:rsid w:val="3A706705"/>
    <w:rsid w:val="3A816B64"/>
    <w:rsid w:val="3AA54601"/>
    <w:rsid w:val="3ABB3E24"/>
    <w:rsid w:val="3AC440EB"/>
    <w:rsid w:val="3AE315CD"/>
    <w:rsid w:val="3AE35129"/>
    <w:rsid w:val="3AE55345"/>
    <w:rsid w:val="3B1A3241"/>
    <w:rsid w:val="3B8406BA"/>
    <w:rsid w:val="3BD50F16"/>
    <w:rsid w:val="3BF35840"/>
    <w:rsid w:val="3C4F6F1A"/>
    <w:rsid w:val="3CAD46DE"/>
    <w:rsid w:val="3CFE26EE"/>
    <w:rsid w:val="3D0751F3"/>
    <w:rsid w:val="3D477BF1"/>
    <w:rsid w:val="3D734E8A"/>
    <w:rsid w:val="3DC456E6"/>
    <w:rsid w:val="3F60143E"/>
    <w:rsid w:val="3F6D76B7"/>
    <w:rsid w:val="3F8327DF"/>
    <w:rsid w:val="3F8E7D59"/>
    <w:rsid w:val="3FB452E6"/>
    <w:rsid w:val="3FC67188"/>
    <w:rsid w:val="3FF73B50"/>
    <w:rsid w:val="40153FD6"/>
    <w:rsid w:val="405C7B0B"/>
    <w:rsid w:val="40BA4B7E"/>
    <w:rsid w:val="40CB28E7"/>
    <w:rsid w:val="40CF23D7"/>
    <w:rsid w:val="41B810BD"/>
    <w:rsid w:val="42277FF1"/>
    <w:rsid w:val="42633ACA"/>
    <w:rsid w:val="42696076"/>
    <w:rsid w:val="429D6505"/>
    <w:rsid w:val="43F16B09"/>
    <w:rsid w:val="4436451B"/>
    <w:rsid w:val="447D65EE"/>
    <w:rsid w:val="4497145E"/>
    <w:rsid w:val="44D81A76"/>
    <w:rsid w:val="44FA19ED"/>
    <w:rsid w:val="4517259F"/>
    <w:rsid w:val="451A3E3D"/>
    <w:rsid w:val="457C0654"/>
    <w:rsid w:val="45A002F6"/>
    <w:rsid w:val="46144D30"/>
    <w:rsid w:val="467557CF"/>
    <w:rsid w:val="467A1037"/>
    <w:rsid w:val="46A2233C"/>
    <w:rsid w:val="46CB1893"/>
    <w:rsid w:val="46D70238"/>
    <w:rsid w:val="46F74436"/>
    <w:rsid w:val="470F5323"/>
    <w:rsid w:val="477737C9"/>
    <w:rsid w:val="47947ED7"/>
    <w:rsid w:val="47E250E6"/>
    <w:rsid w:val="48822425"/>
    <w:rsid w:val="48DD765B"/>
    <w:rsid w:val="48E924A4"/>
    <w:rsid w:val="491A265E"/>
    <w:rsid w:val="493E5F83"/>
    <w:rsid w:val="4957740E"/>
    <w:rsid w:val="4977360C"/>
    <w:rsid w:val="49A34DCE"/>
    <w:rsid w:val="4A17094B"/>
    <w:rsid w:val="4B29302C"/>
    <w:rsid w:val="4B4E6E91"/>
    <w:rsid w:val="4B8D41C2"/>
    <w:rsid w:val="4C3B4DC5"/>
    <w:rsid w:val="4C771B75"/>
    <w:rsid w:val="4C804ECE"/>
    <w:rsid w:val="4C8A7AFA"/>
    <w:rsid w:val="4D627EC9"/>
    <w:rsid w:val="4D752558"/>
    <w:rsid w:val="4D896004"/>
    <w:rsid w:val="4E035DB6"/>
    <w:rsid w:val="4E760336"/>
    <w:rsid w:val="4E9904C8"/>
    <w:rsid w:val="4ECF3EEA"/>
    <w:rsid w:val="4EDE7C89"/>
    <w:rsid w:val="4F0022F6"/>
    <w:rsid w:val="4F244236"/>
    <w:rsid w:val="4F251D5C"/>
    <w:rsid w:val="4F2E29BF"/>
    <w:rsid w:val="4F440434"/>
    <w:rsid w:val="4F4E12B3"/>
    <w:rsid w:val="4FAB2261"/>
    <w:rsid w:val="4FD50483"/>
    <w:rsid w:val="50213F0D"/>
    <w:rsid w:val="502B6EFE"/>
    <w:rsid w:val="50492324"/>
    <w:rsid w:val="50CA6717"/>
    <w:rsid w:val="50F33EC0"/>
    <w:rsid w:val="515A3F3F"/>
    <w:rsid w:val="519D3E2C"/>
    <w:rsid w:val="51AE022E"/>
    <w:rsid w:val="51C25640"/>
    <w:rsid w:val="521D6D1B"/>
    <w:rsid w:val="528B64DA"/>
    <w:rsid w:val="52C553E8"/>
    <w:rsid w:val="52F97788"/>
    <w:rsid w:val="537312E8"/>
    <w:rsid w:val="5386726D"/>
    <w:rsid w:val="5416249B"/>
    <w:rsid w:val="54370568"/>
    <w:rsid w:val="546D3F89"/>
    <w:rsid w:val="5486504B"/>
    <w:rsid w:val="54AA540E"/>
    <w:rsid w:val="54D5680B"/>
    <w:rsid w:val="55055F70"/>
    <w:rsid w:val="552F56E3"/>
    <w:rsid w:val="55434CEA"/>
    <w:rsid w:val="554C0043"/>
    <w:rsid w:val="555E7D76"/>
    <w:rsid w:val="5560764A"/>
    <w:rsid w:val="557430F6"/>
    <w:rsid w:val="55A7439F"/>
    <w:rsid w:val="55AF26C5"/>
    <w:rsid w:val="55B41744"/>
    <w:rsid w:val="55E02539"/>
    <w:rsid w:val="55E1028B"/>
    <w:rsid w:val="56130B60"/>
    <w:rsid w:val="56812DB2"/>
    <w:rsid w:val="569E48CE"/>
    <w:rsid w:val="57233025"/>
    <w:rsid w:val="575651A9"/>
    <w:rsid w:val="5778511F"/>
    <w:rsid w:val="57DD4F82"/>
    <w:rsid w:val="58296419"/>
    <w:rsid w:val="584E5E80"/>
    <w:rsid w:val="587F6039"/>
    <w:rsid w:val="58AB6E2E"/>
    <w:rsid w:val="58AD0DF8"/>
    <w:rsid w:val="58FD3402"/>
    <w:rsid w:val="5929341A"/>
    <w:rsid w:val="59A85A64"/>
    <w:rsid w:val="59C97EB4"/>
    <w:rsid w:val="59D6612D"/>
    <w:rsid w:val="5A0E1D6B"/>
    <w:rsid w:val="5A6F09F1"/>
    <w:rsid w:val="5AB13866"/>
    <w:rsid w:val="5B445318"/>
    <w:rsid w:val="5B870208"/>
    <w:rsid w:val="5B8F6EDB"/>
    <w:rsid w:val="5B9B5880"/>
    <w:rsid w:val="5C007491"/>
    <w:rsid w:val="5C221AFD"/>
    <w:rsid w:val="5CCB3F43"/>
    <w:rsid w:val="5D177188"/>
    <w:rsid w:val="5D414205"/>
    <w:rsid w:val="5DAB553F"/>
    <w:rsid w:val="5DB46785"/>
    <w:rsid w:val="5E587A58"/>
    <w:rsid w:val="5E6A63CB"/>
    <w:rsid w:val="5ECA3D86"/>
    <w:rsid w:val="5EDD1D0C"/>
    <w:rsid w:val="5EE4753E"/>
    <w:rsid w:val="5F1C0A86"/>
    <w:rsid w:val="5F2924A8"/>
    <w:rsid w:val="5F7E34EF"/>
    <w:rsid w:val="5FA3796D"/>
    <w:rsid w:val="5FAA7786"/>
    <w:rsid w:val="5FD2361F"/>
    <w:rsid w:val="60037B37"/>
    <w:rsid w:val="601C4AB5"/>
    <w:rsid w:val="602D6CC3"/>
    <w:rsid w:val="6074044E"/>
    <w:rsid w:val="60791F08"/>
    <w:rsid w:val="609B00D0"/>
    <w:rsid w:val="60CC028A"/>
    <w:rsid w:val="61447E20"/>
    <w:rsid w:val="615D0EE2"/>
    <w:rsid w:val="61783F6D"/>
    <w:rsid w:val="618E3791"/>
    <w:rsid w:val="61B04EBA"/>
    <w:rsid w:val="61EA4E6B"/>
    <w:rsid w:val="62593D9F"/>
    <w:rsid w:val="62620EA5"/>
    <w:rsid w:val="632A1297"/>
    <w:rsid w:val="63422A85"/>
    <w:rsid w:val="63495BC1"/>
    <w:rsid w:val="63534C92"/>
    <w:rsid w:val="63CF256B"/>
    <w:rsid w:val="64030466"/>
    <w:rsid w:val="64630F05"/>
    <w:rsid w:val="6480384A"/>
    <w:rsid w:val="65CE6852"/>
    <w:rsid w:val="66171FA7"/>
    <w:rsid w:val="662326FA"/>
    <w:rsid w:val="662F5543"/>
    <w:rsid w:val="669453A6"/>
    <w:rsid w:val="672A7AB8"/>
    <w:rsid w:val="67705E13"/>
    <w:rsid w:val="68530A9D"/>
    <w:rsid w:val="68A10ED6"/>
    <w:rsid w:val="694A4441"/>
    <w:rsid w:val="69D72179"/>
    <w:rsid w:val="6A1C5DDE"/>
    <w:rsid w:val="6A3A2708"/>
    <w:rsid w:val="6A7A6FA8"/>
    <w:rsid w:val="6ADC1BCF"/>
    <w:rsid w:val="6B6537B4"/>
    <w:rsid w:val="6B827EC3"/>
    <w:rsid w:val="6BBD0EFB"/>
    <w:rsid w:val="6C3D203B"/>
    <w:rsid w:val="6C3E11CA"/>
    <w:rsid w:val="6CC664D5"/>
    <w:rsid w:val="6D196605"/>
    <w:rsid w:val="6D77332B"/>
    <w:rsid w:val="6DA46816"/>
    <w:rsid w:val="6E26547D"/>
    <w:rsid w:val="6E396833"/>
    <w:rsid w:val="6E8E3022"/>
    <w:rsid w:val="6EAB3BD4"/>
    <w:rsid w:val="6ED8429D"/>
    <w:rsid w:val="6EED5F9B"/>
    <w:rsid w:val="6FB46AB9"/>
    <w:rsid w:val="6FBB7E47"/>
    <w:rsid w:val="6FEB5B66"/>
    <w:rsid w:val="6FF576CC"/>
    <w:rsid w:val="6FF8462B"/>
    <w:rsid w:val="702A6D7B"/>
    <w:rsid w:val="70497201"/>
    <w:rsid w:val="70622071"/>
    <w:rsid w:val="70912956"/>
    <w:rsid w:val="709A7FDD"/>
    <w:rsid w:val="70BF3080"/>
    <w:rsid w:val="70F829D5"/>
    <w:rsid w:val="71025602"/>
    <w:rsid w:val="712F289B"/>
    <w:rsid w:val="7130216F"/>
    <w:rsid w:val="714F4957"/>
    <w:rsid w:val="718304F0"/>
    <w:rsid w:val="71AA0173"/>
    <w:rsid w:val="71FB277D"/>
    <w:rsid w:val="72031631"/>
    <w:rsid w:val="724A3704"/>
    <w:rsid w:val="72646574"/>
    <w:rsid w:val="7295497F"/>
    <w:rsid w:val="72B33057"/>
    <w:rsid w:val="72C84F7C"/>
    <w:rsid w:val="72E970FE"/>
    <w:rsid w:val="72F07E08"/>
    <w:rsid w:val="73530396"/>
    <w:rsid w:val="735C549D"/>
    <w:rsid w:val="73683E42"/>
    <w:rsid w:val="737F73DD"/>
    <w:rsid w:val="747131CA"/>
    <w:rsid w:val="75B94E29"/>
    <w:rsid w:val="75D05CCE"/>
    <w:rsid w:val="765A3AC4"/>
    <w:rsid w:val="768371E5"/>
    <w:rsid w:val="76C70E7F"/>
    <w:rsid w:val="76D87530"/>
    <w:rsid w:val="77080487"/>
    <w:rsid w:val="773D3837"/>
    <w:rsid w:val="77A86F03"/>
    <w:rsid w:val="77F35CA4"/>
    <w:rsid w:val="783562BD"/>
    <w:rsid w:val="786372CE"/>
    <w:rsid w:val="78D83818"/>
    <w:rsid w:val="79823784"/>
    <w:rsid w:val="79872B48"/>
    <w:rsid w:val="79C627D6"/>
    <w:rsid w:val="79C8388C"/>
    <w:rsid w:val="79E24222"/>
    <w:rsid w:val="7A0B5527"/>
    <w:rsid w:val="7A835A05"/>
    <w:rsid w:val="7AE446F6"/>
    <w:rsid w:val="7B1E74DC"/>
    <w:rsid w:val="7B22521E"/>
    <w:rsid w:val="7B2368A0"/>
    <w:rsid w:val="7B424F78"/>
    <w:rsid w:val="7B4B6523"/>
    <w:rsid w:val="7B580C40"/>
    <w:rsid w:val="7B9B0B2D"/>
    <w:rsid w:val="7BCB7664"/>
    <w:rsid w:val="7BD807DB"/>
    <w:rsid w:val="7C274EA6"/>
    <w:rsid w:val="7C345209"/>
    <w:rsid w:val="7C3945CD"/>
    <w:rsid w:val="7C3C2310"/>
    <w:rsid w:val="7C7B7ECE"/>
    <w:rsid w:val="7C914409"/>
    <w:rsid w:val="7C9B5288"/>
    <w:rsid w:val="7CF404F4"/>
    <w:rsid w:val="7D0A41BC"/>
    <w:rsid w:val="7D7B6E68"/>
    <w:rsid w:val="7D9341B1"/>
    <w:rsid w:val="7DD10836"/>
    <w:rsid w:val="7DD520D4"/>
    <w:rsid w:val="7E1626EC"/>
    <w:rsid w:val="7E2D63B4"/>
    <w:rsid w:val="7E374B3D"/>
    <w:rsid w:val="7EE60311"/>
    <w:rsid w:val="7EF70770"/>
    <w:rsid w:val="7F833DB1"/>
    <w:rsid w:val="7FAC588B"/>
    <w:rsid w:val="7FE93583"/>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Salutation"/>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仿宋_GB2312" w:cs="Times New Roman"/>
      <w:kern w:val="2"/>
      <w:sz w:val="32"/>
      <w:szCs w:val="32"/>
      <w:lang w:val="en-US" w:eastAsia="zh-CN" w:bidi="ar"/>
    </w:rPr>
  </w:style>
  <w:style w:type="paragraph" w:styleId="5">
    <w:name w:val="Body Text"/>
    <w:basedOn w:val="1"/>
    <w:uiPriority w:val="0"/>
    <w:pPr>
      <w:keepNext w:val="0"/>
      <w:keepLines w:val="0"/>
      <w:widowControl w:val="0"/>
      <w:suppressLineNumbers w:val="0"/>
      <w:spacing w:after="120" w:afterAutospacing="0"/>
      <w:jc w:val="both"/>
    </w:pPr>
    <w:rPr>
      <w:rFonts w:hint="default" w:ascii="Times New Roman" w:hAnsi="Times New Roman" w:eastAsia="仿宋_GB2312" w:cs="Times New Roman"/>
      <w:kern w:val="2"/>
      <w:sz w:val="32"/>
      <w:szCs w:val="32"/>
      <w:lang w:val="en-US" w:eastAsia="zh-CN" w:bidi="ar"/>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99"/>
    <w:rPr>
      <w:rFonts w:cs="Times New Roman"/>
      <w:b/>
    </w:rPr>
  </w:style>
  <w:style w:type="paragraph" w:customStyle="1" w:styleId="1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12">
    <w:name w:val="标题 1 字符"/>
    <w:basedOn w:val="9"/>
    <w:link w:val="3"/>
    <w:qFormat/>
    <w:locked/>
    <w:uiPriority w:val="9"/>
    <w:rPr>
      <w:b/>
      <w:bCs/>
      <w:kern w:val="44"/>
      <w:sz w:val="44"/>
      <w:szCs w:val="44"/>
    </w:rPr>
  </w:style>
  <w:style w:type="paragraph" w:customStyle="1" w:styleId="13">
    <w:name w:val="正文文本1"/>
    <w:basedOn w:val="1"/>
    <w:qFormat/>
    <w:uiPriority w:val="0"/>
    <w:pPr>
      <w:spacing w:before="93"/>
    </w:pPr>
    <w:rPr>
      <w:rFonts w:ascii="仿宋_GB2312" w:hAnsi="仿宋_GB2312" w:eastAsia="仿宋_GB2312" w:cs="Times New Roman"/>
      <w:kern w:val="0"/>
      <w:sz w:val="30"/>
      <w:szCs w:val="20"/>
    </w:rPr>
  </w:style>
  <w:style w:type="paragraph" w:customStyle="1" w:styleId="14">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6.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chart" Target="charts/chart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DELL\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ELL\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DELL\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DELL\Desktop\&#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DELL\Desktop\&#26032;&#24314;%20XLS%20&#24037;&#20316;&#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DELL\Desktop\&#26032;&#24314;%20XLS%20&#24037;&#20316;&#3492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DELL\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工作表.xls]Sheet1'!$E$11:$F$11</c:f>
              <c:strCache>
                <c:ptCount val="2"/>
                <c:pt idx="0">
                  <c:v>2021年</c:v>
                </c:pt>
                <c:pt idx="1">
                  <c:v>2020年</c:v>
                </c:pt>
              </c:strCache>
            </c:strRef>
          </c:cat>
          <c:val>
            <c:numRef>
              <c:f>'[新建 XLS 工作表.xls]Sheet1'!$E$12:$F$12</c:f>
              <c:numCache>
                <c:formatCode>General</c:formatCode>
                <c:ptCount val="2"/>
                <c:pt idx="0">
                  <c:v>3552.78</c:v>
                </c:pt>
                <c:pt idx="1" c:formatCode="#,##0.00">
                  <c:v>4162.99</c:v>
                </c:pt>
              </c:numCache>
            </c:numRef>
          </c:val>
        </c:ser>
        <c:dLbls>
          <c:showLegendKey val="0"/>
          <c:showVal val="1"/>
          <c:showCatName val="0"/>
          <c:showSerName val="0"/>
          <c:showPercent val="0"/>
          <c:showBubbleSize val="0"/>
        </c:dLbls>
        <c:gapWidth val="219"/>
        <c:overlap val="-27"/>
        <c:axId val="634344894"/>
        <c:axId val="193626439"/>
      </c:barChart>
      <c:catAx>
        <c:axId val="6343448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626439"/>
        <c:crosses val="autoZero"/>
        <c:auto val="1"/>
        <c:lblAlgn val="ctr"/>
        <c:lblOffset val="100"/>
        <c:noMultiLvlLbl val="0"/>
      </c:catAx>
      <c:valAx>
        <c:axId val="193626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43448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收入决算结构图（万元）</a:t>
            </a:r>
          </a:p>
        </c:rich>
      </c:tx>
      <c:layout>
        <c:manualLayout>
          <c:xMode val="edge"/>
          <c:yMode val="edge"/>
          <c:x val="0.263864967275233"/>
          <c:y val="0.0321285140562249"/>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工作表.xls]Sheet1'!$F$18:$G$18</c:f>
              <c:strCache>
                <c:ptCount val="2"/>
                <c:pt idx="0">
                  <c:v>一般公共预算财政拨款收入</c:v>
                </c:pt>
                <c:pt idx="1">
                  <c:v>政府性基金预算财政拨款收入</c:v>
                </c:pt>
              </c:strCache>
            </c:strRef>
          </c:cat>
          <c:val>
            <c:numRef>
              <c:f>'[新建 XLS 工作表.xls]Sheet1'!$F$19:$G$19</c:f>
              <c:numCache>
                <c:formatCode>General</c:formatCode>
                <c:ptCount val="2"/>
                <c:pt idx="0">
                  <c:v>3115.49</c:v>
                </c:pt>
                <c:pt idx="1">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工作表.xls]Sheet1'!$F$18:$G$18</c:f>
              <c:strCache>
                <c:ptCount val="2"/>
                <c:pt idx="0">
                  <c:v>基本支出</c:v>
                </c:pt>
                <c:pt idx="1">
                  <c:v>项目支出</c:v>
                </c:pt>
              </c:strCache>
            </c:strRef>
          </c:cat>
          <c:val>
            <c:numRef>
              <c:f>'[新建 XLS 工作表.xls]Sheet1'!$F$19:$G$19</c:f>
              <c:numCache>
                <c:formatCode>General</c:formatCode>
                <c:ptCount val="2"/>
                <c:pt idx="0">
                  <c:v>2897.37</c:v>
                </c:pt>
                <c:pt idx="1">
                  <c:v>655.41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工作表.xls]Sheet1'!$E$11:$F$11</c:f>
              <c:strCache>
                <c:ptCount val="2"/>
                <c:pt idx="0">
                  <c:v>2021年</c:v>
                </c:pt>
                <c:pt idx="1">
                  <c:v>2020年</c:v>
                </c:pt>
              </c:strCache>
            </c:strRef>
          </c:cat>
          <c:val>
            <c:numRef>
              <c:f>'[新建 XLS 工作表.xls]Sheet1'!$E$12:$F$12</c:f>
              <c:numCache>
                <c:formatCode>General</c:formatCode>
                <c:ptCount val="2"/>
                <c:pt idx="0">
                  <c:v>3552.78</c:v>
                </c:pt>
                <c:pt idx="1" c:formatCode="#,##0.00">
                  <c:v>4162.99</c:v>
                </c:pt>
              </c:numCache>
            </c:numRef>
          </c:val>
        </c:ser>
        <c:dLbls>
          <c:showLegendKey val="0"/>
          <c:showVal val="1"/>
          <c:showCatName val="0"/>
          <c:showSerName val="0"/>
          <c:showPercent val="0"/>
          <c:showBubbleSize val="0"/>
        </c:dLbls>
        <c:gapWidth val="219"/>
        <c:overlap val="-27"/>
        <c:axId val="634344894"/>
        <c:axId val="193626439"/>
      </c:barChart>
      <c:catAx>
        <c:axId val="6343448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626439"/>
        <c:crosses val="autoZero"/>
        <c:auto val="1"/>
        <c:lblAlgn val="ctr"/>
        <c:lblOffset val="100"/>
        <c:noMultiLvlLbl val="0"/>
      </c:catAx>
      <c:valAx>
        <c:axId val="193626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43448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一般公共预算财政拨款支出决算表（万元）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工作表.xls]Sheet1'!$E$11:$F$11</c:f>
              <c:strCache>
                <c:ptCount val="2"/>
                <c:pt idx="0">
                  <c:v>2021年</c:v>
                </c:pt>
                <c:pt idx="1">
                  <c:v>2020年</c:v>
                </c:pt>
              </c:strCache>
            </c:strRef>
          </c:cat>
          <c:val>
            <c:numRef>
              <c:f>'[新建 XLS 工作表.xls]Sheet1'!$E$12:$F$12</c:f>
              <c:numCache>
                <c:formatCode>General</c:formatCode>
                <c:ptCount val="2"/>
                <c:pt idx="0">
                  <c:v>3552.78</c:v>
                </c:pt>
                <c:pt idx="1" c:formatCode="#,##0.00">
                  <c:v>4162.99</c:v>
                </c:pt>
              </c:numCache>
            </c:numRef>
          </c:val>
        </c:ser>
        <c:dLbls>
          <c:showLegendKey val="0"/>
          <c:showVal val="1"/>
          <c:showCatName val="0"/>
          <c:showSerName val="0"/>
          <c:showPercent val="0"/>
          <c:showBubbleSize val="0"/>
        </c:dLbls>
        <c:gapWidth val="219"/>
        <c:overlap val="-27"/>
        <c:axId val="634344894"/>
        <c:axId val="193626439"/>
      </c:barChart>
      <c:catAx>
        <c:axId val="6343448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626439"/>
        <c:crosses val="autoZero"/>
        <c:auto val="1"/>
        <c:lblAlgn val="ctr"/>
        <c:lblOffset val="100"/>
        <c:noMultiLvlLbl val="0"/>
      </c:catAx>
      <c:valAx>
        <c:axId val="193626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43448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54254219772649"/>
                  <c:y val="-0.14351851851851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19044252704798"/>
                  <c:y val="0.018126975016713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60027871346081"/>
                  <c:y val="0.10856333694072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51362577260467"/>
                  <c:y val="-0.0092655552866742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9339219033223"/>
                  <c:y val="-0.026413550448879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28086526265928"/>
                  <c:y val="0.004930376709776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工作表.xls]Sheet1'!$E$10:$J$10</c:f>
              <c:strCache>
                <c:ptCount val="6"/>
                <c:pt idx="0">
                  <c:v>文化旅游体育与传媒支出</c:v>
                </c:pt>
                <c:pt idx="1">
                  <c:v>其他文化旅游体育与传媒支出</c:v>
                </c:pt>
                <c:pt idx="2">
                  <c:v>农林水支出</c:v>
                </c:pt>
                <c:pt idx="3">
                  <c:v>社会保障和就业支出</c:v>
                </c:pt>
                <c:pt idx="4">
                  <c:v>卫生健康支出</c:v>
                </c:pt>
                <c:pt idx="5">
                  <c:v>住房保障支出</c:v>
                </c:pt>
              </c:strCache>
            </c:strRef>
          </c:cat>
          <c:val>
            <c:numRef>
              <c:f>'[新建 XLS 工作表.xls]Sheet1'!$E$11:$J$11</c:f>
              <c:numCache>
                <c:formatCode>General</c:formatCode>
                <c:ptCount val="6"/>
                <c:pt idx="0">
                  <c:v>3072.95</c:v>
                </c:pt>
                <c:pt idx="1">
                  <c:v>92.61</c:v>
                </c:pt>
                <c:pt idx="2">
                  <c:v>14.87</c:v>
                </c:pt>
                <c:pt idx="3">
                  <c:v>166.79</c:v>
                </c:pt>
                <c:pt idx="4">
                  <c:v>75.76</c:v>
                </c:pt>
                <c:pt idx="5">
                  <c:v>129.8</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工作表.xls]Sheet1'!$E$10:$J$10</c:f>
              <c:strCache>
                <c:ptCount val="6"/>
                <c:pt idx="0">
                  <c:v>文化旅游体育与传媒支出</c:v>
                </c:pt>
                <c:pt idx="1">
                  <c:v>其他文化旅游体育与传媒支出</c:v>
                </c:pt>
                <c:pt idx="2">
                  <c:v>农林水支出</c:v>
                </c:pt>
                <c:pt idx="3">
                  <c:v>社会保障和就业支出</c:v>
                </c:pt>
                <c:pt idx="4">
                  <c:v>卫生健康支出</c:v>
                </c:pt>
                <c:pt idx="5">
                  <c:v>住房保障支出</c:v>
                </c:pt>
              </c:strCache>
            </c:strRef>
          </c:cat>
          <c:val>
            <c:numRef>
              <c:f>'[新建 XLS 工作表.xls]Sheet1'!$E$12:$J$12</c:f>
              <c:numCache>
                <c:formatCode>0.00%</c:formatCode>
                <c:ptCount val="6"/>
                <c:pt idx="0">
                  <c:v>0.864942383147845</c:v>
                </c:pt>
                <c:pt idx="1">
                  <c:v>0.0260669109823856</c:v>
                </c:pt>
                <c:pt idx="2">
                  <c:v>0.00418545477063032</c:v>
                </c:pt>
                <c:pt idx="3">
                  <c:v>0.0469463349827459</c:v>
                </c:pt>
                <c:pt idx="4">
                  <c:v>0.0213241461615974</c:v>
                </c:pt>
                <c:pt idx="5">
                  <c:v>0.036534769954796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a:t>
            </a:r>
            <a:r>
              <a:rPr altLang="en-US"/>
              <a:t>三公</a:t>
            </a:r>
            <a:r>
              <a:rPr lang="en-US" altLang="zh-CN"/>
              <a:t>”</a:t>
            </a:r>
            <a:r>
              <a:rPr altLang="en-US"/>
              <a:t>经费财政拨款支出</a:t>
            </a:r>
            <a:endParaRPr altLang="en-US"/>
          </a:p>
        </c:rich>
      </c:tx>
      <c:layout>
        <c:manualLayout>
          <c:xMode val="edge"/>
          <c:yMode val="edge"/>
          <c:x val="0.285277777777778"/>
          <c:y val="0.06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工作表.xls]Sheet1'!$D$17:$E$17</c:f>
              <c:strCache>
                <c:ptCount val="2"/>
                <c:pt idx="0">
                  <c:v>公务用车购置及运行维护费支出</c:v>
                </c:pt>
                <c:pt idx="1">
                  <c:v>公务接待费支出</c:v>
                </c:pt>
              </c:strCache>
            </c:strRef>
          </c:cat>
          <c:val>
            <c:numRef>
              <c:f>'[新建 XLS 工作表.xls]Sheet1'!$D$18:$E$18</c:f>
              <c:numCache>
                <c:formatCode>General</c:formatCode>
                <c:ptCount val="2"/>
                <c:pt idx="0">
                  <c:v>163.41</c:v>
                </c:pt>
                <c:pt idx="1">
                  <c:v>47.54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18687</Words>
  <Characters>20298</Characters>
  <Lines>1</Lines>
  <Paragraphs>1</Paragraphs>
  <TotalTime>0</TotalTime>
  <ScaleCrop>false</ScaleCrop>
  <LinksUpToDate>false</LinksUpToDate>
  <CharactersWithSpaces>20517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2022-09-23T00:54:00Z</dcterms:created>
  <dc:creator>DELL</dc:creator>
  <cp:lastModifiedBy>薄荷绿°</cp:lastModifiedBy>
  <dcterms:modified xsi:type="dcterms:W3CDTF">2022-09-28T03:03:56Z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268A0A13C54245659A946F16499EB0E1</vt:lpwstr>
  </property>
</Properties>
</file>